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BD5A427" w14:textId="77777777" w:rsidR="00EA3D3C" w:rsidRPr="00994A3D" w:rsidRDefault="00654E8F" w:rsidP="0001436A">
      <w:pPr>
        <w:pStyle w:val="Ttulo1"/>
      </w:pPr>
      <w:r w:rsidRPr="00994A3D">
        <w:t>Supplementary Data</w:t>
      </w:r>
    </w:p>
    <w:p w14:paraId="45E797C2" w14:textId="21EF428D" w:rsidR="008E4641" w:rsidRDefault="00964B1D" w:rsidP="008E4641">
      <w:pPr>
        <w:pStyle w:val="Ttulo2"/>
        <w:spacing w:line="276" w:lineRule="auto"/>
        <w:rPr>
          <w:rFonts w:asciiTheme="majorBidi" w:hAnsiTheme="majorBidi" w:cstheme="majorBidi"/>
          <w:sz w:val="20"/>
          <w:szCs w:val="20"/>
        </w:rPr>
      </w:pPr>
      <w:bookmarkStart w:id="0" w:name="_Toc43312955"/>
      <w:bookmarkStart w:id="1" w:name="_Toc45115362"/>
      <w:bookmarkStart w:id="2" w:name="_Toc38821139"/>
      <w:r w:rsidRPr="008E4641">
        <w:rPr>
          <w:rFonts w:asciiTheme="majorBidi" w:hAnsiTheme="majorBidi" w:cstheme="majorBidi"/>
          <w:sz w:val="20"/>
          <w:szCs w:val="20"/>
        </w:rPr>
        <w:t>Detailed methods</w:t>
      </w:r>
    </w:p>
    <w:p w14:paraId="7F3195FE" w14:textId="2F49B01B" w:rsidR="008E4641" w:rsidRPr="00B257F0" w:rsidRDefault="008E4641" w:rsidP="008E4641">
      <w:pPr>
        <w:pStyle w:val="Ttulo3"/>
      </w:pPr>
      <w:r w:rsidRPr="00B257F0">
        <w:t xml:space="preserve">Cohorts used in </w:t>
      </w:r>
      <w:proofErr w:type="spellStart"/>
      <w:r w:rsidRPr="00B257F0">
        <w:t>Multitrait</w:t>
      </w:r>
      <w:proofErr w:type="spellEnd"/>
      <w:r w:rsidRPr="00B257F0">
        <w:t xml:space="preserve"> analysis of GWAS (MTAG)</w:t>
      </w:r>
      <w:bookmarkEnd w:id="0"/>
      <w:bookmarkEnd w:id="1"/>
    </w:p>
    <w:p w14:paraId="2C5440C3" w14:textId="77777777" w:rsidR="008E4641" w:rsidRPr="00B257F0" w:rsidRDefault="008E4641" w:rsidP="008E4641">
      <w:pPr>
        <w:spacing w:line="276" w:lineRule="auto"/>
        <w:rPr>
          <w:rFonts w:asciiTheme="majorBidi" w:hAnsiTheme="majorBidi" w:cstheme="majorBidi"/>
          <w:b/>
          <w:bCs/>
          <w:sz w:val="20"/>
          <w:szCs w:val="20"/>
        </w:rPr>
      </w:pPr>
      <w:r w:rsidRPr="00B257F0">
        <w:rPr>
          <w:rFonts w:asciiTheme="majorBidi" w:hAnsiTheme="majorBidi" w:cstheme="majorBidi"/>
          <w:b/>
          <w:bCs/>
          <w:sz w:val="20"/>
          <w:szCs w:val="20"/>
        </w:rPr>
        <w:t>MEGASTROKE-CES</w:t>
      </w:r>
    </w:p>
    <w:p w14:paraId="789BB93A" w14:textId="3B29D702" w:rsidR="008E4641" w:rsidRPr="00B257F0" w:rsidRDefault="008E4641" w:rsidP="008E4641">
      <w:pPr>
        <w:spacing w:line="276" w:lineRule="auto"/>
        <w:rPr>
          <w:rFonts w:asciiTheme="majorBidi" w:hAnsiTheme="majorBidi" w:cstheme="majorBidi"/>
          <w:sz w:val="20"/>
          <w:szCs w:val="20"/>
        </w:rPr>
      </w:pPr>
      <w:r w:rsidRPr="00B257F0">
        <w:rPr>
          <w:rFonts w:asciiTheme="majorBidi" w:hAnsiTheme="majorBidi" w:cstheme="majorBidi"/>
          <w:sz w:val="20"/>
          <w:szCs w:val="20"/>
        </w:rPr>
        <w:t>For the European ancestry analysis of MEGASTROKE consortium 16 different cohorts were analyzed, comprising up to 34,217 cases of ischemic stroke and 405,111 healthy controls. Stroke was defined according to the World Health Organization (WHO) as rapidly developing signs of focal (or global) disturbance of cerebral function, lasting more than 24 hours or leading to death with no apparent cause other than that of vascular origin. Strokes were defined as ischemic stroke (IS</w:t>
      </w:r>
      <w:proofErr w:type="gramStart"/>
      <w:r w:rsidRPr="00B257F0">
        <w:rPr>
          <w:rFonts w:asciiTheme="majorBidi" w:hAnsiTheme="majorBidi" w:cstheme="majorBidi"/>
          <w:sz w:val="20"/>
          <w:szCs w:val="20"/>
        </w:rPr>
        <w:t>)</w:t>
      </w:r>
      <w:proofErr w:type="gramEnd"/>
      <w:r w:rsidRPr="00B257F0">
        <w:rPr>
          <w:rFonts w:asciiTheme="majorBidi" w:hAnsiTheme="majorBidi" w:cstheme="majorBidi"/>
          <w:sz w:val="20"/>
          <w:szCs w:val="20"/>
        </w:rPr>
        <w:t xml:space="preserve"> or intracerebral hemorrhage (ICH) based on clinical and imaging criteria. IS was further subdivided into the following categories mostly using the Trial of Org 10172 in Acute Stroke Treatment (TOAST) criteria): </w:t>
      </w:r>
      <w:proofErr w:type="spellStart"/>
      <w:r w:rsidRPr="00B257F0">
        <w:rPr>
          <w:rFonts w:asciiTheme="majorBidi" w:hAnsiTheme="majorBidi" w:cstheme="majorBidi"/>
          <w:sz w:val="20"/>
          <w:szCs w:val="20"/>
        </w:rPr>
        <w:t>i</w:t>
      </w:r>
      <w:proofErr w:type="spellEnd"/>
      <w:r w:rsidRPr="00B257F0">
        <w:rPr>
          <w:rFonts w:asciiTheme="majorBidi" w:hAnsiTheme="majorBidi" w:cstheme="majorBidi"/>
          <w:sz w:val="20"/>
          <w:szCs w:val="20"/>
        </w:rPr>
        <w:t xml:space="preserve">) large vessel ischemic stroke; ii) cardioembolic ischemic stroke; iii) small vessel ischemic stroke. Specifically, for European analysis of CES they analyzed 7,193 cases of CES and 355,468 healthy controls. Further details of the cohorts in the original publication </w:t>
      </w:r>
      <w:r w:rsidRPr="00B257F0">
        <w:rPr>
          <w:rFonts w:asciiTheme="majorBidi" w:hAnsiTheme="majorBidi" w:cstheme="majorBidi"/>
          <w:sz w:val="20"/>
          <w:szCs w:val="20"/>
        </w:rPr>
        <w:fldChar w:fldCharType="begin" w:fldLock="1"/>
      </w:r>
      <w:r w:rsidR="003426E1">
        <w:rPr>
          <w:rFonts w:asciiTheme="majorBidi" w:hAnsiTheme="majorBidi" w:cstheme="majorBidi"/>
          <w:sz w:val="20"/>
          <w:szCs w:val="20"/>
        </w:rPr>
        <w:instrText>ADDIN CSL_CITATION {"citationItems":[{"id":"ITEM-1","itemData":{"DOI":"10.1038/s41588-018-0058-3","ISBN":"1740774515","ISSN":"15461718","PMID":"29531354","abstract":"Stroke has multiple etiologies, but the underlying genes and pathways are largely unknown. We conducted a multiancestry genome-wide-association meta-analysis in 521,612 individuals (67,162 cases and 454,450 controls) and discovered 22 new stroke risk loci, bringing the total to 32. We further found shared genetic variation with related vascular traits, including blood pressure, cardiac traits, and venous thromboembolism, at individual loci (n = 18), and using genetic risk scores and linkage-disequilibrium-score regression. Several loci exhibited distinct association and pleiotropy patterns for etiological stroke subtypes. Eleven new susceptibility loci indicate mechanisms not previously implicated in stroke pathophysiology, with prioritization of risk variants and genes accomplished through bioinformatics analyses using extensive functional datasets. Stroke risk loci were significantly enriched in drug targets for antithrombotic therapy.","author":[{"dropping-particle":"","family":"Malik","given":"Rainer","non-dropping-particle":"","parse-names":false,"suffix":""},{"dropping-particle":"","family":"Chauhan","given":"Ganesh","non-dropping-particle":"","parse-names":false,"suffix":""},{"dropping-particle":"","family":"Traylor","given":"Matthew","non-dropping-particle":"","parse-names":false,"suffix":""},{"dropping-particle":"","family":"Sargurupremraj","given":"Muralidharan","non-dropping-particle":"","parse-names":false,"suffix":""},{"dropping-particle":"","family":"Okada","given":"Yukinori","non-dropping-particle":"","parse-names":false,"suffix":""},{"dropping-particle":"","family":"Mishra","given":"Aniket","non-dropping-particle":"","parse-names":false,"suffix":""},{"dropping-particle":"","family":"Rutten-Jacobs","given":"Loes","non-dropping-particle":"","parse-names":false,"suffix":""},{"dropping-particle":"","family":"Giese","given":"Anne Katrin","non-dropping-particle":"","parse-names":false,"suffix":""},{"dropping-particle":"","family":"Laan","given":"Sander W.","non-dropping-particle":"Van Der","parse-names":false,"suffix":""},{"dropping-particle":"","family":"Gretarsdottir","given":"Solveig","non-dropping-particle":"","parse-names":false,"suffix":""},{"dropping-particle":"","family":"Anderson","given":"Christopher D.","non-dropping-particle":"","parse-names":false,"suffix":""},{"dropping-particle":"","family":"Chong","given":"Michael","non-dropping-particle":"","parse-names":false,"suffix":""},{"dropping-particle":"","family":"Adams","given":"Hieab H.H.","non-dropping-particle":"","parse-names":false,"suffix":""},{"dropping-particle":"","family":"Ago","given":"Tetsuro","non-dropping-particle":"","parse-names":false,"suffix":""},{"dropping-particle":"","family":"Almgren","given":"Peter","non-dropping-particle":"","parse-names":false,"suffix":""},{"dropping-particle":"","family":"Amouyel","given":"Philippe","non-dropping-particle":"","parse-names":false,"suffix":""},{"dropping-particle":"","family":"Ay","given":"Hakan","non-dropping-particle":"","parse-names":false,"suffix":""},{"dropping-particle":"","family":"Bartz","given":"Traci M.","non-dropping-particle":"","parse-names":false,"suffix":""},{"dropping-particle":"","family":"Benavente","given":"Oscar R.","non-dropping-particle":"","parse-names":false,"suffix":""},{"dropping-particle":"","family":"Bevan","given":"Steve","non-dropping-particle":"","parse-names":false,"suffix":""},{"dropping-particle":"","family":"Boncoraglio","given":"Giorgio B.","non-dropping-particle":"","parse-names":false,"suffix":""},{"dropping-particle":"","family":"Brown","given":"Robert D.","non-dropping-particle":"","parse-names":false,"suffix":""},{"dropping-particle":"","family":"Butterworth","given":"Adam S.","non-dropping-particle":"","parse-names":false,"suffix":""},{"dropping-particle":"","family":"Carrera","given":"Caty","non-dropping-particle":"","parse-names":false,"suffix":""},{"dropping-particle":"","family":"Carty","given":"Cara L.","non-dropping-particle":"","parse-names":false,"suffix":""},{"dropping-particle":"","family":"Chasman","given":"Daniel I.","non-dropping-particle":"","parse-names":false,"suffix":""},{"dropping-particle":"","family":"Chen","given":"Wei Min","non-dropping-particle":"","parse-names":false,"suffix":""},{"dropping-particle":"","family":"Cole","given":"John W.","non-dropping-particle":"","parse-names":false,"suffix":""},{"dropping-particle":"","family":"Correa","given":"Adolfo","non-dropping-particle":"","parse-names":false,"suffix":""},{"dropping-particle":"","family":"Cotlarciuc","given":"Ioana","non-dropping-particle":"","parse-names":false,"suffix":""},{"dropping-particle":"","family":"Cruchaga","given":"Carlos","non-dropping-particle":"","parse-names":false,"suffix":""},{"dropping-particle":"","family":"Danesh","given":"John","non-dropping-particle":"","parse-names":false,"suffix":""},{"dropping-particle":"","family":"Bakker","given":"Paul I.W.","non-dropping-particle":"De","parse-names":false,"suffix":""},{"dropping-particle":"","family":"Destefano","given":"Anita L.","non-dropping-particle":"","parse-names":false,"suffix":""},{"dropping-particle":"","family":"Hoed","given":"Marcel","non-dropping-particle":"Den","parse-names":false,"suffix":""},{"dropping-particle":"","family":"Duan","given":"Qing","non-dropping-particle":"","parse-names":false,"suffix":""},{"dropping-particle":"","family":"Engelter","given":"Stefan T.","non-dropping-particle":"","parse-names":false,"suffix":""},{"dropping-particle":"","family":"Falcone","given":"Guido J.","non-dropping-particle":"","parse-names":false,"suffix":""},{"dropping-particle":"","family":"Gottesman","given":"Rebecca F.","non-dropping-particle":"","parse-names":false,"suffix":""},{"dropping-particle":"","family":"Grewal","given":"Raji P.","non-dropping-particle":"","parse-names":false,"suffix":""},{"dropping-particle":"","family":"Gudnason","given":"Vilmundur","non-dropping-particle":"","parse-names":false,"suffix":""},{"dropping-particle":"","family":"Gustafsson","given":"Stefan","non-dropping-particle":"","parse-names":false,"suffix":""},{"dropping-particle":"","family":"Haessler","given":"Jeffrey","non-dropping-particle":"","parse-names":false,"suffix":""},{"dropping-particle":"","family":"Harris","given":"Tamara B.","non-dropping-particle":"","parse-names":false,"suffix":""},{"dropping-particle":"","family":"Hassan","given":"Ahamad","non-dropping-particle":"","parse-names":false,"suffix":""},{"dropping-particle":"","family":"Havulinna","given":"Aki S.","non-dropping-particle":"","parse-names":false,"suffix":""},{"dropping-particle":"","family":"Heckbert","given":"Susan R.","non-dropping-particle":"","parse-names":false,"suffix":""},{"dropping-particle":"","family":"Holliday","given":"Elizabeth G.","non-dropping-particle":"","parse-names":false,"suffix":""},{"dropping-particle":"","family":"Howard","given":"George","non-dropping-particle":"","parse-names":false,"suffix":""},{"dropping-particle":"","family":"Hsu","given":"Fang Chi","non-dropping-particle":"","parse-names":false,"suffix":""},{"dropping-particle":"","family":"Hyacinth","given":"Hyacinth I.","non-dropping-particle":"","parse-names":false,"suffix":""},{"dropping-particle":"","family":"Ikram","given":"M. Arfan","non-dropping-particle":"","parse-names":false,"suffix":""},{"dropping-particle":"","family":"Ingelsson","given":"Erik","non-dropping-particle":"","parse-names":false,"suffix":""},{"dropping-particle":"","family":"Irvin","given":"Marguerite R.","non-dropping-particle":"","parse-names":false,"suffix":""},{"dropping-particle":"","family":"Jian","given":"Xueqiu","non-dropping-particle":"","parse-names":false,"suffix":""},{"dropping-particle":"","family":"Jiménez-Conde","given":"Jordi","non-dropping-particle":"","parse-names":false,"suffix":""},{"dropping-particle":"","family":"Johnson","given":"Julie A.","non-dropping-particle":"","parse-names":false,"suffix":""},{"dropping-particle":"","family":"Jukema","given":"J. Wouter","non-dropping-particle":"","parse-names":false,"suffix":""},{"dropping-particle":"","family":"Kanai","given":"Masahiro","non-dropping-particle":"","parse-names":false,"suffix":""},{"dropping-particle":"","family":"Keene","given":"Keith L.","non-dropping-particle":"","parse-names":false,"suffix":""},{"dropping-particle":"","family":"Kissela","given":"Brett M.","non-dropping-particle":"","parse-names":false,"suffix":""},{"dropping-particle":"","family":"Kleindorfer","given":"Dawn O.","non-dropping-particle":"","parse-names":false,"suffix":""},{"dropping-particle":"","family":"Kooperberg","given":"Charles","non-dropping-particle":"","parse-names":false,"suffix":""},{"dropping-particle":"","family":"Kubo","given":"Michiaki","non-dropping-particle":"","parse-names":false,"suffix":""},{"dropping-particle":"","family":"Lange","given":"Leslie A.","non-dropping-particle":"","parse-names":false,"suffix":""},{"dropping-particle":"","family":"Langefeld","given":"Carl D.","non-dropping-particle":"","parse-names":false,"suffix":""},{"dropping-particle":"","family":"Langenberg","given":"Claudia","non-dropping-particle":"","parse-names":false,"suffix":""},{"dropping-particle":"","family":"Launer","given":"Lenore J.","non-dropping-particle":"","parse-names":false,"suffix":""},{"dropping-particle":"","family":"Lee","given":"Jin Moo","non-dropping-particle":"","parse-names":false,"suffix":""},{"dropping-particle":"","family":"Lemmens","given":"Robin","non-dropping-particle":"","parse-names":false,"suffix":""},{"dropping-particle":"","family":"Leys","given":"Didier","non-dropping-particle":"","parse-names":false,"suffix":""},{"dropping-particle":"","family":"Lewis","given":"Cathryn M.","non-dropping-particle":"","parse-names":false,"suffix":""},{"dropping-particle":"","family":"Lin","given":"Wei Yu","non-dropping-particle":"","parse-names":false,"suffix":""},{"dropping-particle":"","family":"Lindgren","given":"Arne G.","non-dropping-particle":"","parse-names":false,"suffix":""},{"dropping-particle":"","family":"Lorentzen","given":"Erik","non-dropping-particle":"","parse-names":false,"suffix":""},{"dropping-particle":"","family":"Magnusson","given":"Patrik K.","non-dropping-particle":"","parse-names":false,"suffix":""},{"dropping-particle":"","family":"Maguire","given":"Jane","non-dropping-particle":"","parse-names":false,"suffix":""},{"dropping-particle":"","family":"Manichaikul","given":"Ani","non-dropping-particle":"","parse-names":false,"suffix":""},{"dropping-particle":"","family":"McArdle","given":"Patrick F.","non-dropping-particle":"","parse-names":false,"suffix":""},{"dropping-particle":"","family":"Meschia","given":"James F.","non-dropping-particle":"","parse-names":false,"suffix":""},{"dropping-particle":"","family":"Mitchell","given":"Braxton D.","non-dropping-particle":"","parse-names":false,"suffix":""},{"dropping-particle":"","family":"Mosley","given":"Thomas H.","non-dropping-particle":"","parse-names":false,"suffix":""},{"dropping-particle":"","family":"Nalls","given":"Michael A.","non-dropping-particle":"","parse-names":false,"suffix":""},{"dropping-particle":"","family":"Ninomiya","given":"Toshiharu","non-dropping-particle":"","parse-names":false,"suffix":""},{"dropping-particle":"","family":"O'Donnell","given":"Martin J.","non-dropping-particle":"","parse-names":false,"suffix":""},{"dropping-particle":"","family":"Psaty","given":"Bruce M.","non-dropping-particle":"","parse-names":false,"suffix":""},{"dropping-particle":"","family":"Pulit","given":"Sara L.","non-dropping-particle":"","parse-names":false,"suffix":""},{"dropping-particle":"","family":"Rannikmäe","given":"Kristiina","non-dropping-particle":"","parse-names":false,"suffix":""},{"dropping-particle":"","family":"Reiner","given":"Alexander P.","non-dropping-particle":"","parse-names":false,"suffix":""},{"dropping-particle":"","family":"Rexrode","given":"Kathryn M.","non-dropping-particle":"","parse-names":false,"suffix":""},{"dropping-particle":"","family":"Rice","given":"Kenneth","non-dropping-particle":"","parse-names":false,"suffix":""},{"dropping-particle":"","family":"Rich","given":"Stephen S.","non-dropping-particle":"","parse-names":false,"suffix":""},{"dropping-particle":"","family":"Ridker","given":"Paul M.","non-dropping-particle":"","parse-names":false,"suffix":""},{"dropping-particle":"","family":"Rost","given":"Natalia S.","non-dropping-particle":"","parse-names":false,"suffix":""},{"dropping-particle":"","family":"Rothwell","given":"Peter M.","non-dropping-particle":"","parse-names":false,"suffix":""},{"dropping-particle":"","family":"Rotter","given":"Jerome I.","non-dropping-particle":"","parse-names":false,"suffix":""},{"dropping-particle":"","family":"Rundek","given":"Tatjana","non-dropping-particle":"","parse-names":false,"suffix":""},{"dropping-particle":"","family":"Sacco","given":"Ralph L.","non-dropping-particle":"","parse-names":false,"suffix":""},{"dropping-particle":"","family":"Sakaue","given":"Saori","non-dropping-particle":"","parse-names":false,"suffix":""},{"dropping-particle":"","family":"Sale","given":"Michele M.","non-dropping-particle":"","parse-names":false,"suffix":""},{"dropping-particle":"","family":"Salomaa","given":"Veikko","non-dropping-particle":"","parse-names":false,"suffix":""},{"dropping-particle":"","family":"Sapkota","given":"Bishwa R.","non-dropping-particle":"","parse-names":false,"suffix":""},{"dropping-particle":"","family":"Schmidt","given":"Reinhold","non-dropping-particle":"","parse-names":false,"suffix":""},{"dropping-particle":"","family":"Schmidt","given":"Carsten O.","non-dropping-particle":"","parse-names":false,"suffix":""},{"dropping-particle":"","family":"Schminke","given":"Ulf","non-dropping-particle":"","parse-names":false,"suffix":""},{"dropping-particle":"","family":"Sharma","given":"Pankaj","non-dropping-particle":"","parse-names":false,"suffix":""},{"dropping-particle":"","family":"Slowik","given":"Agnieszka","non-dropping-particle":"","parse-names":false,"suffix":""},{"dropping-particle":"","family":"Sudlow","given":"Cathie L.M.","non-dropping-particle":"","parse-names":false,"suffix":""},{"dropping-particle":"","family":"Tanislav","given":"Christian","non-dropping-particle":"","parse-names":false,"suffix":""},{"dropping-particle":"","family":"Tatlisumak","given":"Turgut","non-dropping-particle":"","parse-names":false,"suffix":""},{"dropping-particle":"","family":"Taylor","given":"Kent D.","non-dropping-particle":"","parse-names":false,"suffix":""},{"dropping-particle":"","family":"Thijs","given":"Vincent N.S.","non-dropping-particle":"","parse-names":false,"suffix":""},{"dropping-particle":"","family":"Thorleifsson","given":"Gudmar","non-dropping-particle":"","parse-names":false,"suffix":""},{"dropping-particle":"","family":"Thorsteinsdottir","given":"Unnur","non-dropping-particle":"","parse-names":false,"suffix":""},{"dropping-particle":"","family":"Tiedt","given":"Steffen","non-dropping-particle":"","parse-names":false,"suffix":""},{"dropping-particle":"","family":"Trompet","given":"Stella","non-dropping-particle":"","parse-names":false,"suffix":""},{"dropping-particle":"","family":"Tzourio","given":"Christophe","non-dropping-particle":"","parse-names":false,"suffix":""},{"dropping-particle":"","family":"Duijn","given":"Cornelia M.","non-dropping-particle":"Van","parse-names":false,"suffix":""},{"dropping-particle":"","family":"Walters","given":"Matthew","non-dropping-particle":"","parse-names":false,"suffix":""},{"dropping-particle":"","family":"Wareham","given":"Nicholas J.","non-dropping-particle":"","parse-names":false,"suffix":""},{"dropping-particle":"","family":"Wassertheil-Smoller","given":"Sylvia","non-dropping-particle":"","parse-names":false,"suffix":""},{"dropping-particle":"","family":"Wilson","given":"James G.","non-dropping-particle":"","parse-names":false,"suffix":""},{"dropping-particle":"","family":"Wiggins","given":"Kerri L.","non-dropping-particle":"","parse-names":false,"suffix":""},{"dropping-particle":"","family":"Yang","given":"Qiong","non-dropping-particle":"","parse-names":false,"suffix":""},{"dropping-particle":"","family":"Yusuf","given":"Salim","non-dropping-particle":"","parse-names":false,"suffix":""},{"dropping-particle":"","family":"Bis","given":"Joshua C.","non-dropping-particle":"","parse-names":false,"suffix":""},{"dropping-particle":"","family":"Pastinen","given":"Tomi","non-dropping-particle":"","parse-names":false,"suffix":""},{"dropping-particle":"","family":"Ruusalepp","given":"Arno","non-dropping-particle":"","parse-names":false,"suffix":""},{"dropping-particle":"","family":"Schadt","given":"Eric E.","non-dropping-particle":"","parse-names":false,"suffix":""},{"dropping-particle":"","family":"Koplev","given":"Simon","non-dropping-particle":"","parse-names":false,"suffix":""},{"dropping-particle":"","family":"Björkegren","given":"Johan L.M.","non-dropping-particle":"","parse-names":false,"suffix":""},{"dropping-particle":"","family":"Codoni","given":"Veronica","non-dropping-particle":"","parse-names":false,"suffix":""},{"dropping-particle":"","family":"Civelek","given":"Mete","non-dropping-particle":"","parse-names":false,"suffix":""},{"dropping-particle":"","family":"Smith","given":"Nicholas L.","non-dropping-particle":"","parse-names":false,"suffix":""},{"dropping-particle":"","family":"Trégouët","given":"David A.","non-dropping-particle":"","parse-names":false,"suffix":""},{"dropping-particle":"","family":"Christophersen","given":"Ingrid E.","non-dropping-particle":"","parse-names":false,"suffix":""},{"dropping-particle":"","family":"Roselli","given":"Carolina","non-dropping-particle":"","parse-names":false,"suffix":""},{"dropping-particle":"","family":"Lubitz","given":"Steven A.","non-dropping-particle":"","parse-names":false,"suffix":""},{"dropping-particle":"","family":"Ellinor","given":"Patrick T.","non-dropping-particle":"","parse-names":false,"suffix":""},{"dropping-particle":"","family":"Tai","given":"E. Shyong","non-dropping-particle":"","parse-names":false,"suffix":""},{"dropping-particle":"","family":"Kooner","given":"Jaspal S.","non-dropping-particle":"","parse-names":false,"suffix":""},{"dropping-particle":"","family":"Kato","given":"Norihiro","non-dropping-particle":"","parse-names":false,"suffix":""},{"dropping-particle":"","family":"He","given":"Jiang","non-dropping-particle":"","parse-names":false,"suffix":""},{"dropping-particle":"","family":"Harst","given":"Pim","non-dropping-particle":"Van Der","parse-names":false,"suffix":""},{"dropping-particle":"","family":"Elliott","given":"Paul","non-dropping-particle":"","parse-names":false,"suffix":""},{"dropping-particle":"","family":"Chambers","given":"John C.","non-dropping-particle":"","parse-names":false,"suffix":""},{"dropping-particle":"","family":"Takeuchi","given":"Fumihiko","non-dropping-particle":"","parse-names":false,"suffix":""},{"dropping-particle":"","family":"Johnson","given":"Andrew D.","non-dropping-particle":"","parse-names":false,"suffix":""},{"dropping-particle":"","family":"Sanghera","given":"Dharambir K.","non-dropping-particle":"","parse-names":false,"suffix":""},{"dropping-particle":"","family":"Melander","given":"Olle","non-dropping-particle":"","parse-names":false,"suffix":""},{"dropping-particle":"","family":"Jern","given":"Christina","non-dropping-particle":"","parse-names":false,"suffix":""},{"dropping-particle":"","family":"Strbian","given":"Daniel","non-dropping-particle":"","parse-names":false,"suffix":""},{"dropping-particle":"","family":"Fernandez-Cadenas","given":"Israel","non-dropping-particle":"","parse-names":false,"suffix":""},{"dropping-particle":"","family":"Longstreth","given":"W. T.","non-dropping-particle":"","parse-names":false,"suffix":""},{"dropping-particle":"","family":"Rolfs","given":"Arndt","non-dropping-particle":"","parse-names":false,"suffix":""},{"dropping-particle":"","family":"Hata","given":"Jun","non-dropping-particle":"","parse-names":false,"suffix":""},{"dropping-particle":"","family":"Woo","given":"Daniel","non-dropping-particle":"","parse-names":false,"suffix":""},{"dropping-particle":"","family":"Rosand","given":"Jonathan","non-dropping-particle":"","parse-names":false,"suffix":""},{"dropping-particle":"","family":"Pare","given":"Guillaume","non-dropping-particle":"","parse-names":false,"suffix":""},{"dropping-particle":"","family":"Hopewell","given":"Jemma C.","non-dropping-particle":"","parse-names":false,"suffix":""},{"dropping-particle":"","family":"Saleheen","given":"Danish","non-dropping-particle":"","parse-names":false,"suffix":""},{"dropping-particle":"","family":"Stefansson","given":"Kari","non-dropping-particle":"","parse-names":false,"suffix":""},{"dropping-particle":"","family":"Worrall","given":"Bradford B.","non-dropping-particle":"","parse-names":false,"suffix":""},{"dropping-particle":"","family":"Kittner","given":"Steven J.","non-dropping-particle":"","parse-names":false,"suffix":""},{"dropping-particle":"","family":"Seshadri","given":"Sudha","non-dropping-particle":"","parse-names":false,"suffix":""},{"dropping-particle":"","family":"Fornage","given":"Myriam","non-dropping-particle":"","parse-names":false,"suffix":""},{"dropping-particle":"","family":"Markus","given":"Hugh S.","non-dropping-particle":"","parse-names":false,"suffix":""},{"dropping-particle":"","family":"Howson","given":"Joanna M.M.","non-dropping-particle":"","parse-names":false,"suffix":""},{"dropping-particle":"","family":"Kamatani","given":"Yoichiro","non-dropping-particle":"","parse-names":false,"suffix":""},{"dropping-particle":"","family":"Debette","given":"Stephanie","non-dropping-particle":"","parse-names":false,"suffix":""},{"dropping-particle":"","family":"Dichgans","given":"Martin","non-dropping-particle":"","parse-names":false,"suffix":""},{"dropping-particle":"","family":"Amin","given":"Najaf","non-dropping-particle":"","parse-names":false,"suffix":""},{"dropping-particle":"","family":"Aparicio","given":"Hugo S.","non-dropping-particle":"","parse-names":false,"suffix":""},{"dropping-particle":"","family":"Arnett","given":"Donna K.","non-dropping-particle":"","parse-names":false,"suffix":""},{"dropping-particle":"","family":"Attia","given":"John","non-dropping-particle":"","parse-names":false,"suffix":""},{"dropping-particle":"","family":"Beiser","given":"Alexa S.","non-dropping-particle":"","parse-names":false,"suffix":""},{"dropping-particle":"","family":"Berr","given":"Claudine","non-dropping-particle":"","parse-names":false,"suffix":""},{"dropping-particle":"","family":"Buring","given":"Julie E.","non-dropping-particle":"","parse-names":false,"suffix":""},{"dropping-particle":"","family":"Bustamante","given":"Mariana","non-dropping-particle":"","parse-names":false,"suffix":""},{"dropping-particle":"","family":"Caso","given":"Valeria","non-dropping-particle":"","parse-names":false,"suffix":""},{"dropping-particle":"","family":"Cheng","given":"Yu Ching","non-dropping-particle":"","parse-names":false,"suffix":""},{"dropping-particle":"","family":"Choi","given":"Seung Hoan","non-dropping-particle":"","parse-names":false,"suffix":""},{"dropping-particle":"","family":"Chowhan","given":"Ayesha","non-dropping-particle":"","parse-names":false,"suffix":""},{"dropping-particle":"","family":"Cullell","given":"Natalia","non-dropping-particle":"","parse-names":false,"suffix":""},{"dropping-particle":"","family":"Dartigues","given":"Jean François","non-dropping-particle":"","parse-names":false,"suffix":""},{"dropping-particle":"","family":"Delavaran","given":"Hossein","non-dropping-particle":"","parse-names":false,"suffix":""},{"dropping-particle":"","family":"Delgado","given":"Pilar","non-dropping-particle":"","parse-names":false,"suffix":""},{"dropping-particle":"","family":"Dörr","given":"Marcus","non-dropping-particle":"","parse-names":false,"suffix":""},{"dropping-particle":"","family":"Engström","given":"Gunnar","non-dropping-particle":"","parse-names":false,"suffix":""},{"dropping-particle":"","family":"Ford","given":"Ian","non-dropping-particle":"","parse-names":false,"suffix":""},{"dropping-particle":"","family":"Gurpreet","given":"Wander S.","non-dropping-particle":"","parse-names":false,"suffix":""},{"dropping-particle":"","family":"Hamsten","given":"Anders","non-dropping-particle":"","parse-names":false,"suffix":""},{"dropping-particle":"","family":"Heitsch","given":"Laura","non-dropping-particle":"","parse-names":false,"suffix":""},{"dropping-particle":"","family":"Hozawa","given":"Atsushi","non-dropping-particle":"","parse-names":false,"suffix":""},{"dropping-particle":"","family":"Ibanez","given":"Laura","non-dropping-particle":"","parse-names":false,"suffix":""},{"dropping-particle":"","family":"Ilinca","given":"Andreea","non-dropping-particle":"","parse-names":false,"suffix":""},{"dropping-particle":"","family":"Ingelsson","given":"Martin","non-dropping-particle":"","parse-names":false,"suffix":""},{"dropping-particle":"","family":"Iwasaki","given":"Motoki","non-dropping-particle":"","parse-names":false,"suffix":""},{"dropping-particle":"","family":"Jackson","given":"Rebecca D.","non-dropping-particle":"","parse-names":false,"suffix":""},{"dropping-particle":"","family":"Jood","given":"Katarina","non-dropping-particle":"","parse-names":false,"suffix":""},{"dropping-particle":"","family":"Jousilahti","given":"Pekka","non-dropping-particle":"","parse-names":false,"suffix":""},{"dropping-particle":"","family":"Kaffashian","given":"Sara","non-dropping-particle":"","parse-names":false,"suffix":""},{"dropping-particle":"","family":"Kalra","given":"Lalit","non-dropping-particle":"","parse-names":false,"suffix":""},{"dropping-particle":"","family":"Kamouchi","given":"Masahiro","non-dropping-particle":"","parse-names":false,"suffix":""},{"dropping-particle":"","family":"Kitazono","given":"Takanari","non-dropping-particle":"","parse-names":false,"suffix":""},{"dropping-particle":"","family":"Kjartansson","given":"Olafur","non-dropping-particle":"","parse-names":false,"suffix":""},{"dropping-particle":"","family":"Kloss","given":"Manja","non-dropping-particle":"","parse-names":false,"suffix":""},{"dropping-particle":"","family":"Koudstaal","given":"Peter J.","non-dropping-particle":"","parse-names":false,"suffix":""},{"dropping-particle":"","family":"Krupinski","given":"Jerzy","non-dropping-particle":"","parse-names":false,"suffix":""},{"dropping-particle":"","family":"Labovitz","given":"Daniel L.","non-dropping-particle":"","parse-names":false,"suffix":""},{"dropping-particle":"","family":"Laurie","given":"Cathy C.","non-dropping-particle":"","parse-names":false,"suffix":""},{"dropping-particle":"","family":"Levi","given":"Christopher R.","non-dropping-particle":"","parse-names":false,"suffix":""},{"dropping-particle":"","family":"Li","given":"Linxin","non-dropping-particle":"","parse-names":false,"suffix":""},{"dropping-particle":"","family":"Lind","given":"Lars","non-dropping-particle":"","parse-names":false,"suffix":""},{"dropping-particle":"","family":"Lindgren","given":"Cecilia M.","non-dropping-particle":"","parse-names":false,"suffix":""},{"dropping-particle":"","family":"Lioutas","given":"Vasileios","non-dropping-particle":"","parse-names":false,"suffix":""},{"dropping-particle":"","family":"Liu","given":"Yong Mei","non-dropping-particle":"","parse-names":false,"suffix":""},{"dropping-particle":"","family":"Lopez","given":"Oscar L.","non-dropping-particle":"","parse-names":false,"suffix":""},{"dropping-particle":"","family":"Makoto","given":"Hirata","non-dropping-particle":"","parse-names":false,"suffix":""},{"dropping-particle":"","family":"Martinez-Majander","given":"Nicolas","non-dropping-particle":"","parse-names":false,"suffix":""},{"dropping-particle":"","family":"Matsuda","given":"Koichi","non-dropping-particle":"","parse-names":false,"suffix":""},{"dropping-particle":"","family":"Minegishi","given":"Naoko","non-dropping-particle":"","parse-names":false,"suffix":""},{"dropping-particle":"","family":"Montaner","given":"Joan","non-dropping-particle":"","parse-names":false,"suffix":""},{"dropping-particle":"","family":"Morris","given":"Andrew P.","non-dropping-particle":"","parse-names":false,"suffix":""},{"dropping-particle":"","family":"Muiño","given":"Elena","non-dropping-particle":"","parse-names":false,"suffix":""},{"dropping-particle":"","family":"Müller-Nurasyid","given":"Martina","non-dropping-particle":"","parse-names":false,"suffix":""},{"dropping-particle":"","family":"Norrving","given":"Bo","non-dropping-particle":"","parse-names":false,"suffix":""},{"dropping-particle":"","family":"Ogishima","given":"Soichi","non-dropping-particle":"","parse-names":false,"suffix":""},{"dropping-particle":"","family":"Parati","given":"Eugenio A.","non-dropping-particle":"","parse-names":false,"suffix":""},{"dropping-particle":"","family":"Peddareddygari","given":"Leema Reddy","non-dropping-particle":"","parse-names":false,"suffix":""},{"dropping-particle":"","family":"Pedersen","given":"Nancy L.","non-dropping-particle":"","parse-names":false,"suffix":""},{"dropping-particle":"","family":"Pera","given":"Joanna","non-dropping-particle":"","parse-names":false,"suffix":""},{"dropping-particle":"","family":"Perola","given":"Markus","non-dropping-particle":"","parse-names":false,"suffix":""},{"dropping-particle":"","family":"Pezzini","given":"Alessandro","non-dropping-particle":"","parse-names":false,"suffix":""},{"dropping-particle":"","family":"Pileggi","given":"Silvana","non-dropping-particle":"","parse-names":false,"suffix":""},{"dropping-particle":"","family":"Rabionet","given":"Raquel","non-dropping-particle":"","parse-names":false,"suffix":""},{"dropping-particle":"","family":"Riba-Llena","given":"Iolanda","non-dropping-particle":"","parse-names":false,"suffix":""},{"dropping-particle":"","family":"Ribasés","given":"Marta","non-dropping-particle":"","parse-names":false,"suffix":""},{"dropping-particle":"","family":"Romero","given":"Jose R.","non-dropping-particle":"","parse-names":false,"suffix":""},{"dropping-particle":"","family":"Roquer","given":"Jaume","non-dropping-particle":"","parse-names":false,"suffix":""},{"dropping-particle":"","family":"Rudd","given":"Anthony G.","non-dropping-particle":"","parse-names":false,"suffix":""},{"dropping-particle":"","family":"Sarin","given":"Antti Pekka","non-dropping-particle":"","parse-names":false,"suffix":""},{"dropping-particle":"","family":"Sarju","given":"Ralhan","non-dropping-particle":"","parse-names":false,"suffix":""},{"dropping-particle":"","family":"Sarnowski","given":"Chloe","non-dropping-particle":"","parse-names":false,"suffix":""},{"dropping-particle":"","family":"Sasaki","given":"Makoto","non-dropping-particle":"","parse-names":false,"suffix":""},{"dropping-particle":"","family":"Satizabal","given":"Claudia L.","non-dropping-particle":"","parse-names":false,"suffix":""},{"dropping-particle":"","family":"Satoh","given":"Mamoru","non-dropping-particle":"","parse-names":false,"suffix":""},{"dropping-particle":"","family":"Sattar","given":"Naveed","non-dropping-particle":"","parse-names":false,"suffix":""},{"dropping-particle":"","family":"Sawada","given":"Norie","non-dropping-particle":"","parse-names":false,"suffix":""},{"dropping-particle":"","family":"Sibolt","given":"Gerli","non-dropping-particle":"","parse-names":false,"suffix":""},{"dropping-particle":"","family":"Sigurdsson","given":"Ásgeir","non-dropping-particle":"","parse-names":false,"suffix":""},{"dropping-particle":"","family":"Smith","given":"Albert","non-dropping-particle":"","parse-names":false,"suffix":""},{"dropping-particle":"","family":"Sobue","given":"Kenji","non-dropping-particle":"","parse-names":false,"suffix":""},{"dropping-particle":"","family":"Soriano-Tárraga","given":"Carolina","non-dropping-particle":"","parse-names":false,"suffix":""},{"dropping-particle":"","family":"Stanne","given":"Tara","non-dropping-particle":"","parse-names":false,"suffix":""},{"dropping-particle":"","family":"Stine","given":"O. Colin","non-dropping-particle":"","parse-names":false,"suffix":""},{"dropping-particle":"","family":"Stott","given":"David J.","non-dropping-particle":"","parse-names":false,"suffix":""},{"dropping-particle":"","family":"Strauch","given":"Konstantin","non-dropping-particle":"","parse-names":false,"suffix":""},{"dropping-particle":"","family":"Takai","given":"Takako","non-dropping-particle":"","parse-names":false,"suffix":""},{"dropping-particle":"","family":"Tanaka","given":"Hideo","non-dropping-particle":"","parse-names":false,"suffix":""},{"dropping-particle":"","family":"Tanno","given":"Kozo","non-dropping-particle":"","parse-names":false,"suffix":""},{"dropping-particle":"","family":"Teumer","given":"Alexander","non-dropping-particle":"","parse-names":false,"suffix":""},{"dropping-particle":"","family":"Tomppo","given":"Liisa","non-dropping-particle":"","parse-names":false,"suffix":""},{"dropping-particle":"","family":"Torres-Aguila","given":"Nuria P.","non-dropping-particle":"","parse-names":false,"suffix":""},{"dropping-particle":"","family":"Touze","given":"Emmanuel","non-dropping-particle":"","parse-names":false,"suffix":""},{"dropping-particle":"","family":"Tsugane","given":"Shoichiro","non-dropping-particle":"","parse-names":false,"suffix":""},{"dropping-particle":"","family":"Uitterlinden","given":"Andre G.","non-dropping-particle":"","parse-names":false,"suffix":""},{"dropping-particle":"","family":"Valdimarsson","given":"Einar M.","non-dropping-particle":"","parse-names":false,"suffix":""},{"dropping-particle":"","family":"Lee","given":"Sven J.","non-dropping-particle":"Van Der","parse-names":false,"suffix":""},{"dropping-particle":"","family":"Völzke","given":"Henry","non-dropping-particle":"","parse-names":false,"suffix":""},{"dropping-particle":"","family":"Wakai","given":"Kenji","non-dropping-particle":"","parse-names":false,"suffix":""},{"dropping-particle":"","family":"Weir","given":"David","non-dropping-particle":"","parse-names":false,"suffix":""},{"dropping-particle":"","family":"Williams","given":"Stephen R.","non-dropping-particle":"","parse-names":false,"suffix":""},{"dropping-particle":"","family":"Wolfe","given":"Charles D.A.","non-dropping-particle":"","parse-names":false,"suffix":""},{"dropping-particle":"","family":"Wong","given":"Quenna","non-dropping-particle":"","parse-names":false,"suffix":""},{"dropping-particle":"","family":"Xu","given":"Huichun","non-dropping-particle":"","parse-names":false,"suffix":""},{"dropping-particle":"","family":"Yamaji","given":"Taiki","non-dropping-particle":"","parse-names":false,"suffix":""}],"container-title":"Nature Genetics","id":"ITEM-1","issue":"4","issued":{"date-parts":[["2018"]]},"page":"524-537","title":"Multiancestry genome-wide association study of 520,000 subjects identifies 32 loci associated with stroke and stroke subtypes","type":"article-journal","volume":"50"},"uris":["http://www.mendeley.com/documents/?uuid=78b66ad7-f691-4fd4-90a9-38c8aaa53678"]}],"mendeley":{"formattedCitation":"(Malik et al., 2018)","plainTextFormattedCitation":"(Malik et al., 2018)","previouslyFormattedCitation":"&lt;sup&gt;1&lt;/sup&gt;"},"properties":{"noteIndex":0},"schema":"https://github.com/citation-style-language/schema/raw/master/csl-citation.json"}</w:instrText>
      </w:r>
      <w:r w:rsidRPr="00B257F0">
        <w:rPr>
          <w:rFonts w:asciiTheme="majorBidi" w:hAnsiTheme="majorBidi" w:cstheme="majorBidi"/>
          <w:sz w:val="20"/>
          <w:szCs w:val="20"/>
        </w:rPr>
        <w:fldChar w:fldCharType="separate"/>
      </w:r>
      <w:r w:rsidR="003426E1" w:rsidRPr="003426E1">
        <w:rPr>
          <w:rFonts w:asciiTheme="majorBidi" w:hAnsiTheme="majorBidi" w:cstheme="majorBidi"/>
          <w:noProof/>
          <w:sz w:val="20"/>
          <w:szCs w:val="20"/>
        </w:rPr>
        <w:t>(Malik et al., 2018)</w:t>
      </w:r>
      <w:r w:rsidRPr="00B257F0">
        <w:rPr>
          <w:rFonts w:asciiTheme="majorBidi" w:hAnsiTheme="majorBidi" w:cstheme="majorBidi"/>
          <w:sz w:val="20"/>
          <w:szCs w:val="20"/>
        </w:rPr>
        <w:fldChar w:fldCharType="end"/>
      </w:r>
      <w:r w:rsidRPr="00B257F0">
        <w:rPr>
          <w:rFonts w:asciiTheme="majorBidi" w:hAnsiTheme="majorBidi" w:cstheme="majorBidi"/>
          <w:sz w:val="20"/>
          <w:szCs w:val="20"/>
        </w:rPr>
        <w:t xml:space="preserve">. </w:t>
      </w:r>
    </w:p>
    <w:p w14:paraId="091DD63E" w14:textId="77777777" w:rsidR="008E4641" w:rsidRPr="00B257F0" w:rsidRDefault="008E4641" w:rsidP="008E4641">
      <w:pPr>
        <w:spacing w:line="276" w:lineRule="auto"/>
        <w:rPr>
          <w:rFonts w:asciiTheme="majorBidi" w:hAnsiTheme="majorBidi" w:cstheme="majorBidi"/>
          <w:b/>
          <w:bCs/>
          <w:sz w:val="20"/>
          <w:szCs w:val="20"/>
        </w:rPr>
      </w:pPr>
      <w:r w:rsidRPr="00B257F0">
        <w:rPr>
          <w:rFonts w:asciiTheme="majorBidi" w:hAnsiTheme="majorBidi" w:cstheme="majorBidi"/>
          <w:b/>
          <w:bCs/>
          <w:sz w:val="20"/>
          <w:szCs w:val="20"/>
        </w:rPr>
        <w:t>AF-2018 study</w:t>
      </w:r>
    </w:p>
    <w:p w14:paraId="58B0B8DA" w14:textId="77777777" w:rsidR="008E4641" w:rsidRPr="00B257F0" w:rsidRDefault="008E4641" w:rsidP="008E4641">
      <w:pPr>
        <w:spacing w:line="276" w:lineRule="auto"/>
        <w:rPr>
          <w:rFonts w:asciiTheme="majorBidi" w:hAnsiTheme="majorBidi" w:cstheme="majorBidi"/>
          <w:sz w:val="20"/>
          <w:szCs w:val="20"/>
        </w:rPr>
      </w:pPr>
      <w:r w:rsidRPr="00B257F0">
        <w:rPr>
          <w:rFonts w:asciiTheme="majorBidi" w:hAnsiTheme="majorBidi" w:cstheme="majorBidi"/>
          <w:sz w:val="20"/>
          <w:szCs w:val="20"/>
        </w:rPr>
        <w:t>A total of 60,620 cases of AF and 970,216 controls were analyzed, these patients were recruited as part of main cohorts:</w:t>
      </w:r>
    </w:p>
    <w:p w14:paraId="1FD6C978" w14:textId="6EFB7E91" w:rsidR="008E4641" w:rsidRPr="00B257F0" w:rsidRDefault="008E4641" w:rsidP="008E4641">
      <w:pPr>
        <w:spacing w:line="276" w:lineRule="auto"/>
        <w:rPr>
          <w:rFonts w:asciiTheme="majorBidi" w:hAnsiTheme="majorBidi" w:cstheme="majorBidi"/>
          <w:sz w:val="20"/>
          <w:szCs w:val="20"/>
        </w:rPr>
      </w:pPr>
      <w:r w:rsidRPr="00B257F0">
        <w:rPr>
          <w:rFonts w:asciiTheme="majorBidi" w:hAnsiTheme="majorBidi" w:cstheme="majorBidi"/>
          <w:sz w:val="20"/>
          <w:szCs w:val="20"/>
        </w:rPr>
        <w:t>HUNT.—The Nord-</w:t>
      </w:r>
      <w:proofErr w:type="spellStart"/>
      <w:r w:rsidRPr="00B257F0">
        <w:rPr>
          <w:rFonts w:asciiTheme="majorBidi" w:hAnsiTheme="majorBidi" w:cstheme="majorBidi"/>
          <w:sz w:val="20"/>
          <w:szCs w:val="20"/>
        </w:rPr>
        <w:t>Trøndelag</w:t>
      </w:r>
      <w:proofErr w:type="spellEnd"/>
      <w:r w:rsidRPr="00B257F0">
        <w:rPr>
          <w:rFonts w:asciiTheme="majorBidi" w:hAnsiTheme="majorBidi" w:cstheme="majorBidi"/>
          <w:sz w:val="20"/>
          <w:szCs w:val="20"/>
        </w:rPr>
        <w:t xml:space="preserve"> Health Study (HUNT) is a population-based health survey conducted in the county of Nord-</w:t>
      </w:r>
      <w:proofErr w:type="spellStart"/>
      <w:r w:rsidRPr="00B257F0">
        <w:rPr>
          <w:rFonts w:asciiTheme="majorBidi" w:hAnsiTheme="majorBidi" w:cstheme="majorBidi"/>
          <w:sz w:val="20"/>
          <w:szCs w:val="20"/>
        </w:rPr>
        <w:t>Trøndelag</w:t>
      </w:r>
      <w:proofErr w:type="spellEnd"/>
      <w:r w:rsidRPr="00B257F0">
        <w:rPr>
          <w:rFonts w:asciiTheme="majorBidi" w:hAnsiTheme="majorBidi" w:cstheme="majorBidi"/>
          <w:sz w:val="20"/>
          <w:szCs w:val="20"/>
        </w:rPr>
        <w:t xml:space="preserve">, Norway from 1984 to 2009 </w:t>
      </w:r>
      <w:r w:rsidRPr="00B257F0">
        <w:rPr>
          <w:rFonts w:asciiTheme="majorBidi" w:hAnsiTheme="majorBidi" w:cstheme="majorBidi"/>
          <w:sz w:val="20"/>
          <w:szCs w:val="20"/>
        </w:rPr>
        <w:fldChar w:fldCharType="begin" w:fldLock="1"/>
      </w:r>
      <w:r w:rsidR="003426E1">
        <w:rPr>
          <w:rFonts w:asciiTheme="majorBidi" w:hAnsiTheme="majorBidi" w:cstheme="majorBidi"/>
          <w:sz w:val="20"/>
          <w:szCs w:val="20"/>
        </w:rPr>
        <w:instrText>ADDIN CSL_CITATION {"citationItems":[{"id":"ITEM-1","itemData":{"URL":"https://academic.oup.com/ije/article/42/4/968/655743","accessed":{"date-parts":[["2020","7","10"]]},"author":[{"dropping-particle":"","family":"S Krokstad, A Langhammer, K Hveem, T L Holmen, K Midthjell, T R Stene, G Bratberg, J Heggland","given":"J Holmen","non-dropping-particle":"","parse-names":false,"suffix":""}],"container-title":"International Journal of Epidemiology","id":"ITEM-1","issued":{"date-parts":[["2013"]]},"page":"968-77","title":"Cohort Profile: The HUNT Study","type":"webpage"},"uris":["http://www.mendeley.com/documents/?uuid=bb187ca6-26ae-3bd2-af6a-a0ad76a20a33"]}],"mendeley":{"formattedCitation":"(S Krokstad, A Langhammer, K Hveem, T L Holmen, K Midthjell, T R Stene, G Bratberg, J Heggland, 2013)","plainTextFormattedCitation":"(S Krokstad, A Langhammer, K Hveem, T L Holmen, K Midthjell, T R Stene, G Bratberg, J Heggland, 2013)","previouslyFormattedCitation":"&lt;sup&gt;2&lt;/sup&gt;"},"properties":{"noteIndex":0},"schema":"https://github.com/citation-style-language/schema/raw/master/csl-citation.json"}</w:instrText>
      </w:r>
      <w:r w:rsidRPr="00B257F0">
        <w:rPr>
          <w:rFonts w:asciiTheme="majorBidi" w:hAnsiTheme="majorBidi" w:cstheme="majorBidi"/>
          <w:sz w:val="20"/>
          <w:szCs w:val="20"/>
        </w:rPr>
        <w:fldChar w:fldCharType="separate"/>
      </w:r>
      <w:r w:rsidR="003426E1" w:rsidRPr="003426E1">
        <w:rPr>
          <w:rFonts w:asciiTheme="majorBidi" w:hAnsiTheme="majorBidi" w:cstheme="majorBidi"/>
          <w:noProof/>
          <w:sz w:val="20"/>
          <w:szCs w:val="20"/>
        </w:rPr>
        <w:t>(S Krokstad, A Langhammer, K Hveem, T L Holmen, K Midthjell, T R Stene, G Bratberg, J Heggland, 2013)</w:t>
      </w:r>
      <w:r w:rsidRPr="00B257F0">
        <w:rPr>
          <w:rFonts w:asciiTheme="majorBidi" w:hAnsiTheme="majorBidi" w:cstheme="majorBidi"/>
          <w:sz w:val="20"/>
          <w:szCs w:val="20"/>
        </w:rPr>
        <w:fldChar w:fldCharType="end"/>
      </w:r>
      <w:r w:rsidRPr="00B257F0">
        <w:rPr>
          <w:rFonts w:asciiTheme="majorBidi" w:hAnsiTheme="majorBidi" w:cstheme="majorBidi"/>
          <w:sz w:val="20"/>
          <w:szCs w:val="20"/>
        </w:rPr>
        <w:t>. They used a combination of hospital, out-patient, and emergency room discharge diagnoses (ICD-9 and ICD-10) to identify 6,493 atrial fibrillation cases and 63,142 atrial fibrillation-free controls with genotype data. Participation in the HUNT Study is based on informed consent, and the study was approved by the Data Inspectorate and the Regional Ethics Committee for Medical Research in Norway.</w:t>
      </w:r>
    </w:p>
    <w:p w14:paraId="0DDE7534" w14:textId="3014067F" w:rsidR="008E4641" w:rsidRPr="00B257F0" w:rsidRDefault="008E4641" w:rsidP="008E4641">
      <w:pPr>
        <w:spacing w:line="276" w:lineRule="auto"/>
        <w:rPr>
          <w:rFonts w:asciiTheme="majorBidi" w:hAnsiTheme="majorBidi" w:cstheme="majorBidi"/>
          <w:sz w:val="20"/>
          <w:szCs w:val="20"/>
        </w:rPr>
      </w:pPr>
      <w:proofErr w:type="spellStart"/>
      <w:proofErr w:type="gramStart"/>
      <w:r w:rsidRPr="00B257F0">
        <w:rPr>
          <w:rFonts w:asciiTheme="majorBidi" w:hAnsiTheme="majorBidi" w:cstheme="majorBidi"/>
          <w:sz w:val="20"/>
          <w:szCs w:val="20"/>
        </w:rPr>
        <w:t>deCODE</w:t>
      </w:r>
      <w:proofErr w:type="spellEnd"/>
      <w:r w:rsidRPr="00B257F0">
        <w:rPr>
          <w:rFonts w:asciiTheme="majorBidi" w:hAnsiTheme="majorBidi" w:cstheme="majorBidi"/>
          <w:sz w:val="20"/>
          <w:szCs w:val="20"/>
        </w:rPr>
        <w:t>.—</w:t>
      </w:r>
      <w:proofErr w:type="gramEnd"/>
      <w:r w:rsidRPr="00B257F0">
        <w:rPr>
          <w:rFonts w:asciiTheme="majorBidi" w:hAnsiTheme="majorBidi" w:cstheme="majorBidi"/>
          <w:sz w:val="20"/>
          <w:szCs w:val="20"/>
        </w:rPr>
        <w:t xml:space="preserve">The Icelandic atrial fibrillation population consisted of all patients diagnosed with atrial fibrillation (ICD-10 code I48 and ICD-9 code 427.3) at </w:t>
      </w:r>
      <w:proofErr w:type="spellStart"/>
      <w:r w:rsidRPr="00B257F0">
        <w:rPr>
          <w:rFonts w:asciiTheme="majorBidi" w:hAnsiTheme="majorBidi" w:cstheme="majorBidi"/>
          <w:sz w:val="20"/>
          <w:szCs w:val="20"/>
        </w:rPr>
        <w:t>Landspitali</w:t>
      </w:r>
      <w:proofErr w:type="spellEnd"/>
      <w:r w:rsidRPr="00B257F0">
        <w:rPr>
          <w:rFonts w:asciiTheme="majorBidi" w:hAnsiTheme="majorBidi" w:cstheme="majorBidi"/>
          <w:sz w:val="20"/>
          <w:szCs w:val="20"/>
        </w:rPr>
        <w:t xml:space="preserve">, The National University Hospital, in Reykjavik, and </w:t>
      </w:r>
      <w:proofErr w:type="spellStart"/>
      <w:r w:rsidRPr="00B257F0">
        <w:rPr>
          <w:rFonts w:asciiTheme="majorBidi" w:hAnsiTheme="majorBidi" w:cstheme="majorBidi"/>
          <w:sz w:val="20"/>
          <w:szCs w:val="20"/>
        </w:rPr>
        <w:t>Akureyri</w:t>
      </w:r>
      <w:proofErr w:type="spellEnd"/>
      <w:r w:rsidRPr="00B257F0">
        <w:rPr>
          <w:rFonts w:asciiTheme="majorBidi" w:hAnsiTheme="majorBidi" w:cstheme="majorBidi"/>
          <w:sz w:val="20"/>
          <w:szCs w:val="20"/>
        </w:rPr>
        <w:t xml:space="preserve"> Hospital (the two largest hospitals in Iceland) from 1987 to 2015. All atrial fibrillation cases, a total of 13,471, were included. Controls were 358,161 Icelanders recruited through different genetic research projects at </w:t>
      </w:r>
      <w:proofErr w:type="spellStart"/>
      <w:r w:rsidRPr="00B257F0">
        <w:rPr>
          <w:rFonts w:asciiTheme="majorBidi" w:hAnsiTheme="majorBidi" w:cstheme="majorBidi"/>
          <w:sz w:val="20"/>
          <w:szCs w:val="20"/>
        </w:rPr>
        <w:t>deCODE</w:t>
      </w:r>
      <w:proofErr w:type="spellEnd"/>
      <w:r w:rsidRPr="00B257F0">
        <w:rPr>
          <w:rFonts w:asciiTheme="majorBidi" w:hAnsiTheme="majorBidi" w:cstheme="majorBidi"/>
          <w:sz w:val="20"/>
          <w:szCs w:val="20"/>
        </w:rPr>
        <w:t xml:space="preserve"> genetics, excluding those in the atrial fibrillation cohort. The study was approved by the Icelandic Data Protection Authority and the National Bioethics Committee of Iceland (no. VSNb2015030021).</w:t>
      </w:r>
    </w:p>
    <w:p w14:paraId="686DDDC2" w14:textId="33C99631" w:rsidR="008E4641" w:rsidRPr="00B257F0" w:rsidRDefault="008E4641" w:rsidP="008E4641">
      <w:pPr>
        <w:spacing w:line="276" w:lineRule="auto"/>
        <w:rPr>
          <w:rFonts w:asciiTheme="majorBidi" w:hAnsiTheme="majorBidi" w:cstheme="majorBidi"/>
          <w:sz w:val="20"/>
          <w:szCs w:val="20"/>
        </w:rPr>
      </w:pPr>
      <w:proofErr w:type="gramStart"/>
      <w:r w:rsidRPr="00B257F0">
        <w:rPr>
          <w:rFonts w:asciiTheme="majorBidi" w:hAnsiTheme="majorBidi" w:cstheme="majorBidi"/>
          <w:sz w:val="20"/>
          <w:szCs w:val="20"/>
        </w:rPr>
        <w:t>MGI.—</w:t>
      </w:r>
      <w:proofErr w:type="gramEnd"/>
      <w:r w:rsidRPr="00B257F0">
        <w:rPr>
          <w:rFonts w:asciiTheme="majorBidi" w:hAnsiTheme="majorBidi" w:cstheme="majorBidi"/>
          <w:sz w:val="20"/>
          <w:szCs w:val="20"/>
        </w:rPr>
        <w:t>MGI is a hospital-based cohort collected at Michigan Medicine, USA. Atrial fibrillation cases (n = 1,226) were defined as patients with ICD-9 billing code 427.31, and controls were individuals without atrial fibrillation, atrial flutter, or related phenotypes (ICD-9 426–427.99). MGI was reviewed and approved by the Institutional Review Board of the University of Michigan Medical School.</w:t>
      </w:r>
    </w:p>
    <w:p w14:paraId="30934CEB" w14:textId="1B51AC26" w:rsidR="008E4641" w:rsidRPr="00B257F0" w:rsidRDefault="008E4641" w:rsidP="008E4641">
      <w:pPr>
        <w:spacing w:line="276" w:lineRule="auto"/>
        <w:rPr>
          <w:rFonts w:asciiTheme="majorBidi" w:hAnsiTheme="majorBidi" w:cstheme="majorBidi"/>
          <w:sz w:val="20"/>
          <w:szCs w:val="20"/>
        </w:rPr>
      </w:pPr>
      <w:proofErr w:type="spellStart"/>
      <w:r w:rsidRPr="00B257F0">
        <w:rPr>
          <w:rFonts w:asciiTheme="majorBidi" w:hAnsiTheme="majorBidi" w:cstheme="majorBidi"/>
          <w:sz w:val="20"/>
          <w:szCs w:val="20"/>
        </w:rPr>
        <w:t>DiscovEHR</w:t>
      </w:r>
      <w:proofErr w:type="spellEnd"/>
      <w:r w:rsidRPr="00B257F0">
        <w:rPr>
          <w:rFonts w:asciiTheme="majorBidi" w:hAnsiTheme="majorBidi" w:cstheme="majorBidi"/>
          <w:sz w:val="20"/>
          <w:szCs w:val="20"/>
        </w:rPr>
        <w:t xml:space="preserve">.—The </w:t>
      </w:r>
      <w:proofErr w:type="spellStart"/>
      <w:r w:rsidRPr="00B257F0">
        <w:rPr>
          <w:rFonts w:asciiTheme="majorBidi" w:hAnsiTheme="majorBidi" w:cstheme="majorBidi"/>
          <w:sz w:val="20"/>
          <w:szCs w:val="20"/>
        </w:rPr>
        <w:t>DiscovEHR</w:t>
      </w:r>
      <w:proofErr w:type="spellEnd"/>
      <w:r w:rsidRPr="00B257F0">
        <w:rPr>
          <w:rFonts w:asciiTheme="majorBidi" w:hAnsiTheme="majorBidi" w:cstheme="majorBidi"/>
          <w:sz w:val="20"/>
          <w:szCs w:val="20"/>
        </w:rPr>
        <w:t xml:space="preserve"> collaboration cohort is a hospital-based cohort including 58,124 genotyped individuals of European ancestry from the ongoing </w:t>
      </w:r>
      <w:proofErr w:type="spellStart"/>
      <w:r w:rsidRPr="00B257F0">
        <w:rPr>
          <w:rFonts w:asciiTheme="majorBidi" w:hAnsiTheme="majorBidi" w:cstheme="majorBidi"/>
          <w:sz w:val="20"/>
          <w:szCs w:val="20"/>
        </w:rPr>
        <w:t>MyCode</w:t>
      </w:r>
      <w:proofErr w:type="spellEnd"/>
      <w:r w:rsidRPr="00B257F0">
        <w:rPr>
          <w:rFonts w:asciiTheme="majorBidi" w:hAnsiTheme="majorBidi" w:cstheme="majorBidi"/>
          <w:sz w:val="20"/>
          <w:szCs w:val="20"/>
        </w:rPr>
        <w:t xml:space="preserve"> Community Health Initiative of the Geisinger Health System, USA</w:t>
      </w:r>
      <w:r w:rsidRPr="00B257F0">
        <w:rPr>
          <w:rFonts w:asciiTheme="majorBidi" w:hAnsiTheme="majorBidi" w:cstheme="majorBidi"/>
          <w:sz w:val="20"/>
          <w:szCs w:val="20"/>
        </w:rPr>
        <w:fldChar w:fldCharType="begin" w:fldLock="1"/>
      </w:r>
      <w:r w:rsidR="003426E1">
        <w:rPr>
          <w:rFonts w:asciiTheme="majorBidi" w:hAnsiTheme="majorBidi" w:cstheme="majorBidi"/>
          <w:sz w:val="20"/>
          <w:szCs w:val="20"/>
        </w:rPr>
        <w:instrText xml:space="preserve">ADDIN CSL_CITATION {"citationItems":[{"id":"ITEM-1","itemData":{"DOI":"10.1038/gim.2015.187","ISSN":"15300366","abstract":"Purpose:Geisinger Health System (GHS) provides an ideal platform for Precision Medicine. Key elements are the integrated health system, stable patient population, and electronic health record (EHR) infrastructure. In 2007, Geisinger launched MyCode, a system-wide biobanking program to link samples and EHR data for broad research use.Methods:Patient-centered input into MyCode was obtained using participant focus groups. Participation in MyCode is based on opt-in informed consent and allows recontact, which facilitates collection of data not in the EHR and, since 2013, the return of clinically actionable results to participants. MyCode leverages Geisinger's technology and clinical infrastructure for participant tracking and sample collection.Results:MyCode has a consent rate of &gt;85%, with more than 90,000 participants currently and with ongoing enrollment of </w:instrText>
      </w:r>
      <w:r w:rsidR="003426E1">
        <w:rPr>
          <w:rFonts w:ascii="Cambria Math" w:hAnsi="Cambria Math" w:cs="Cambria Math"/>
          <w:sz w:val="20"/>
          <w:szCs w:val="20"/>
        </w:rPr>
        <w:instrText>∼</w:instrText>
      </w:r>
      <w:r w:rsidR="003426E1">
        <w:rPr>
          <w:rFonts w:asciiTheme="majorBidi" w:hAnsiTheme="majorBidi" w:cstheme="majorBidi"/>
          <w:sz w:val="20"/>
          <w:szCs w:val="20"/>
        </w:rPr>
        <w:instrText>4,000 per month. MyCode samples have been used to generate molecular data, including high-density genotype and exome sequence data. Genotype and EHR-derived phenotype data replicate previously reported genetic associations.Conclusion:The MyCode project has created resources that enable a new model for translational research that is faster, more flexible, and more cost-effective than traditional clinical research approaches. The new model is scalable and will increase in value as these resources grow and are adopted across multiple research platforms.","author":[{"dropping-particle":"","family":"Carey","given":"David J.","non-dropping-particle":"","parse-names":false,"suffix":""},{"dropping-particle":"","family":"Fetterolf","given":"Samantha N.","non-dropping-particle":"","parse-names":false,"suffix":""},{"dropping-particle":"","family":"Davis","given":"F. Daniel","non-dropping-particle":"","parse-names":false,"suffix":""},{"dropping-particle":"","family":"Faucett","given":"William A.","non-dropping-particle":"","parse-names":false,"suffix":""},{"dropping-particle":"","family":"Kirchner","given":"H. Lester","non-dropping-particle":"","parse-names":false,"suffix":""},{"dropping-particle":"","family":"Mirshahi","given":"Uyenlinh","non-dropping-particle":"","parse-names":false,"suffix":""},{"dropping-particle":"","family":"Murray","given":"Michael F.","non-dropping-particle":"","parse-names":false,"suffix":""},{"dropping-particle":"","family":"Smelser","given":"Diane T.","non-dropping-particle":"","parse-names":false,"suffix":""},{"dropping-particle":"","family":"Gerhard","given":"Glenn S.","non-dropping-particle":"","parse-names":false,"suffix":""},{"dropping-particle":"","family":"Ledbetter","given":"David H.","non-dropping-particle":"","parse-names":false,"suffix":""}],"container-title":"Genetics in Medicine","id":"ITEM-1","issue":"9","issued":{"date-parts":[["2016","9","1"]]},"page":"906-913","publisher":"Nature Publishing Group","title":"The Geisinger MyCode community health initiative: An electronic health record-linked biobank for precision medicine research","type":"article-journal","volume":"18"},"uris":["http://www.mendeley.com/documents/?uuid=81d0ad12-5b6c-33e8-a154-596a6729bfff"]}],"mendeley":{"formattedCitation":"(Carey et al., 2016)","plainTextFormattedCitation":"(Carey et al., 2016)","previouslyFormattedCitation":"&lt;sup&gt;3&lt;/sup&gt;"},"properties":{"noteIndex":0},"schema":"https://github.com/citation-style-language/schema/raw/master/csl-citation.json"}</w:instrText>
      </w:r>
      <w:r w:rsidRPr="00B257F0">
        <w:rPr>
          <w:rFonts w:asciiTheme="majorBidi" w:hAnsiTheme="majorBidi" w:cstheme="majorBidi"/>
          <w:sz w:val="20"/>
          <w:szCs w:val="20"/>
        </w:rPr>
        <w:fldChar w:fldCharType="separate"/>
      </w:r>
      <w:r w:rsidR="003426E1" w:rsidRPr="003426E1">
        <w:rPr>
          <w:rFonts w:asciiTheme="majorBidi" w:hAnsiTheme="majorBidi" w:cstheme="majorBidi"/>
          <w:noProof/>
          <w:sz w:val="20"/>
          <w:szCs w:val="20"/>
        </w:rPr>
        <w:t>(Carey et al., 2016)</w:t>
      </w:r>
      <w:r w:rsidRPr="00B257F0">
        <w:rPr>
          <w:rFonts w:asciiTheme="majorBidi" w:hAnsiTheme="majorBidi" w:cstheme="majorBidi"/>
          <w:sz w:val="20"/>
          <w:szCs w:val="20"/>
        </w:rPr>
        <w:fldChar w:fldCharType="end"/>
      </w:r>
      <w:r w:rsidRPr="00B257F0">
        <w:rPr>
          <w:rFonts w:asciiTheme="majorBidi" w:hAnsiTheme="majorBidi" w:cstheme="majorBidi"/>
          <w:sz w:val="20"/>
          <w:szCs w:val="20"/>
        </w:rPr>
        <w:t xml:space="preserve">. Atrial fibrillation cases (n = 6,679) were defined as </w:t>
      </w:r>
      <w:proofErr w:type="spellStart"/>
      <w:r w:rsidRPr="00B257F0">
        <w:rPr>
          <w:rFonts w:asciiTheme="majorBidi" w:hAnsiTheme="majorBidi" w:cstheme="majorBidi"/>
          <w:sz w:val="20"/>
          <w:szCs w:val="20"/>
        </w:rPr>
        <w:t>DiscovEHR</w:t>
      </w:r>
      <w:proofErr w:type="spellEnd"/>
      <w:r w:rsidRPr="00B257F0">
        <w:rPr>
          <w:rFonts w:asciiTheme="majorBidi" w:hAnsiTheme="majorBidi" w:cstheme="majorBidi"/>
          <w:sz w:val="20"/>
          <w:szCs w:val="20"/>
        </w:rPr>
        <w:t xml:space="preserve"> participants with at least one electronic health record problem list entry or at least two diagnosis code entries for two separate clinical encounters on separate calendar days for ICD-10 I48: atrial fibrillation and flutter. Corresponding controls (n = 41,803) were defined as </w:t>
      </w:r>
      <w:r w:rsidRPr="00B257F0">
        <w:rPr>
          <w:rFonts w:asciiTheme="majorBidi" w:hAnsiTheme="majorBidi" w:cstheme="majorBidi"/>
          <w:sz w:val="20"/>
          <w:szCs w:val="20"/>
        </w:rPr>
        <w:lastRenderedPageBreak/>
        <w:t>individuals with no electronic health record diagnosis code entries (problem list or encounter codes) for ICD-10 I48. The Study was approved by the Geisinger Institutional Review Board.</w:t>
      </w:r>
    </w:p>
    <w:p w14:paraId="3127CC94" w14:textId="2F65332E" w:rsidR="008E4641" w:rsidRPr="00B257F0" w:rsidRDefault="008E4641" w:rsidP="008E4641">
      <w:pPr>
        <w:spacing w:line="276" w:lineRule="auto"/>
        <w:rPr>
          <w:rFonts w:asciiTheme="majorBidi" w:hAnsiTheme="majorBidi" w:cstheme="majorBidi"/>
          <w:sz w:val="20"/>
          <w:szCs w:val="20"/>
        </w:rPr>
      </w:pPr>
      <w:r w:rsidRPr="00B257F0">
        <w:rPr>
          <w:rFonts w:asciiTheme="majorBidi" w:hAnsiTheme="majorBidi" w:cstheme="majorBidi"/>
          <w:sz w:val="20"/>
          <w:szCs w:val="20"/>
        </w:rPr>
        <w:t>UK Biobank.—The UK Biobank is a population-based cohort collected from multiple sites across the United Kingdom</w:t>
      </w:r>
      <w:r w:rsidRPr="00B257F0">
        <w:rPr>
          <w:rFonts w:asciiTheme="majorBidi" w:hAnsiTheme="majorBidi" w:cstheme="majorBidi"/>
          <w:sz w:val="20"/>
          <w:szCs w:val="20"/>
        </w:rPr>
        <w:fldChar w:fldCharType="begin" w:fldLock="1"/>
      </w:r>
      <w:r w:rsidR="003426E1">
        <w:rPr>
          <w:rFonts w:asciiTheme="majorBidi" w:hAnsiTheme="majorBidi" w:cstheme="majorBidi"/>
          <w:sz w:val="20"/>
          <w:szCs w:val="20"/>
        </w:rPr>
        <w:instrText>ADDIN CSL_CITATION {"citationItems":[{"id":"ITEM-1","itemData":{"DOI":"10.1371/journal.pmed.1001779","ISSN":"15491676","PMID":"25826379","author":[{"dropping-particle":"","family":"Sudlow","given":"Cathie","non-dropping-particle":"","parse-names":false,"suffix":""},{"dropping-particle":"","family":"Gallacher","given":"John","non-dropping-particle":"","parse-names":false,"suffix":""},{"dropping-particle":"","family":"Allen","given":"Naomi","non-dropping-particle":"","parse-names":false,"suffix":""},{"dropping-particle":"","family":"Beral","given":"Valerie","non-dropping-particle":"","parse-names":false,"suffix":""},{"dropping-particle":"","family":"Burton","given":"Paul","non-dropping-particle":"","parse-names":false,"suffix":""},{"dropping-particle":"","family":"Danesh","given":"John","non-dropping-particle":"","parse-names":false,"suffix":""},{"dropping-particle":"","family":"Downey","given":"Paul","non-dropping-particle":"","parse-names":false,"suffix":""},{"dropping-particle":"","family":"Elliott","given":"Paul","non-dropping-particle":"","parse-names":false,"suffix":""},{"dropping-particle":"","family":"Green","given":"Jane","non-dropping-particle":"","parse-names":false,"suffix":""},{"dropping-particle":"","family":"Landray","given":"Martin","non-dropping-particle":"","parse-names":false,"suffix":""},{"dropping-particle":"","family":"Liu","given":"Bette","non-dropping-particle":"","parse-names":false,"suffix":""},{"dropping-particle":"","family":"Matthews","given":"Paul","non-dropping-particle":"","parse-names":false,"suffix":""},{"dropping-particle":"","family":"Ong","given":"Giok","non-dropping-particle":"","parse-names":false,"suffix":""},{"dropping-particle":"","family":"Pell","given":"Jill","non-dropping-particle":"","parse-names":false,"suffix":""},{"dropping-particle":"","family":"Silman","given":"Alan","non-dropping-particle":"","parse-names":false,"suffix":""},{"dropping-particle":"","family":"Young","given":"Alan","non-dropping-particle":"","parse-names":false,"suffix":""},{"dropping-particle":"","family":"Sprosen","given":"Tim","non-dropping-particle":"","parse-names":false,"suffix":""},{"dropping-particle":"","family":"Peakman","given":"Tim","non-dropping-particle":"","parse-names":false,"suffix":""},{"dropping-particle":"","family":"Collins","given":"Rory","non-dropping-particle":"","parse-names":false,"suffix":""}],"container-title":"PLoS Medicine","id":"ITEM-1","issue":"3","issued":{"date-parts":[["2015","3","1"]]},"publisher":"Public Library of Science","title":"UK Biobank: An Open Access Resource for Identifying the Causes of a Wide Range of Complex Diseases of Middle and Old Age","type":"article-journal","volume":"12"},"uris":["http://www.mendeley.com/documents/?uuid=4695a73f-eca5-30b2-a83a-85c8034274f5"]}],"mendeley":{"formattedCitation":"(Sudlow et al., 2015)","plainTextFormattedCitation":"(Sudlow et al., 2015)","previouslyFormattedCitation":"&lt;sup&gt;4&lt;/sup&gt;"},"properties":{"noteIndex":0},"schema":"https://github.com/citation-style-language/schema/raw/master/csl-citation.json"}</w:instrText>
      </w:r>
      <w:r w:rsidRPr="00B257F0">
        <w:rPr>
          <w:rFonts w:asciiTheme="majorBidi" w:hAnsiTheme="majorBidi" w:cstheme="majorBidi"/>
          <w:sz w:val="20"/>
          <w:szCs w:val="20"/>
        </w:rPr>
        <w:fldChar w:fldCharType="separate"/>
      </w:r>
      <w:r w:rsidR="003426E1" w:rsidRPr="003426E1">
        <w:rPr>
          <w:rFonts w:asciiTheme="majorBidi" w:hAnsiTheme="majorBidi" w:cstheme="majorBidi"/>
          <w:noProof/>
          <w:sz w:val="20"/>
          <w:szCs w:val="20"/>
        </w:rPr>
        <w:t>(Sudlow et al., 2015)</w:t>
      </w:r>
      <w:r w:rsidRPr="00B257F0">
        <w:rPr>
          <w:rFonts w:asciiTheme="majorBidi" w:hAnsiTheme="majorBidi" w:cstheme="majorBidi"/>
          <w:sz w:val="20"/>
          <w:szCs w:val="20"/>
        </w:rPr>
        <w:fldChar w:fldCharType="end"/>
      </w:r>
      <w:r w:rsidRPr="00B257F0">
        <w:rPr>
          <w:rFonts w:asciiTheme="majorBidi" w:hAnsiTheme="majorBidi" w:cstheme="majorBidi"/>
          <w:sz w:val="20"/>
          <w:szCs w:val="20"/>
        </w:rPr>
        <w:t>. Cases of atrial fibrillation were selected using ICD-9 and ICD-10 codes for atrial fibrillation or atrial flutter (ICD-9 427.3 and ICD-10 I48). Controls were participants without any ICD-9 or ICD-10 codes specific for atrial fibrillation, atrial flutter, other cardiac arrhythmias, or conduction disorders.</w:t>
      </w:r>
    </w:p>
    <w:p w14:paraId="586C5B59" w14:textId="275037E7" w:rsidR="008E4641" w:rsidRPr="00B257F0" w:rsidRDefault="008E4641" w:rsidP="008E4641">
      <w:pPr>
        <w:spacing w:line="276" w:lineRule="auto"/>
        <w:rPr>
          <w:rFonts w:asciiTheme="majorBidi" w:hAnsiTheme="majorBidi" w:cstheme="majorBidi"/>
          <w:sz w:val="20"/>
          <w:szCs w:val="20"/>
        </w:rPr>
      </w:pPr>
      <w:proofErr w:type="spellStart"/>
      <w:r w:rsidRPr="00B257F0">
        <w:rPr>
          <w:rFonts w:asciiTheme="majorBidi" w:hAnsiTheme="majorBidi" w:cstheme="majorBidi"/>
          <w:sz w:val="20"/>
          <w:szCs w:val="20"/>
        </w:rPr>
        <w:t>AFGen</w:t>
      </w:r>
      <w:proofErr w:type="spellEnd"/>
      <w:r w:rsidRPr="00B257F0">
        <w:rPr>
          <w:rFonts w:asciiTheme="majorBidi" w:hAnsiTheme="majorBidi" w:cstheme="majorBidi"/>
          <w:sz w:val="20"/>
          <w:szCs w:val="20"/>
        </w:rPr>
        <w:t xml:space="preserve"> </w:t>
      </w:r>
      <w:proofErr w:type="gramStart"/>
      <w:r w:rsidRPr="00B257F0">
        <w:rPr>
          <w:rFonts w:asciiTheme="majorBidi" w:hAnsiTheme="majorBidi" w:cstheme="majorBidi"/>
          <w:sz w:val="20"/>
          <w:szCs w:val="20"/>
        </w:rPr>
        <w:t>Consortium.—</w:t>
      </w:r>
      <w:proofErr w:type="gramEnd"/>
      <w:r w:rsidRPr="00B257F0">
        <w:rPr>
          <w:rFonts w:asciiTheme="majorBidi" w:hAnsiTheme="majorBidi" w:cstheme="majorBidi"/>
          <w:sz w:val="20"/>
          <w:szCs w:val="20"/>
        </w:rPr>
        <w:t>Published atrial fibrillation association summary statistics from 31 cohorts representing 17,931 atrial fibrillation cases and 115,142 controls were obtained from the authors.</w:t>
      </w:r>
    </w:p>
    <w:p w14:paraId="4FF9581F" w14:textId="021101F7" w:rsidR="008E4641" w:rsidRPr="00B257F0" w:rsidRDefault="008E4641" w:rsidP="00D55D73">
      <w:pPr>
        <w:pStyle w:val="Ttulo3"/>
      </w:pPr>
      <w:bookmarkStart w:id="3" w:name="_Toc43303705"/>
      <w:bookmarkStart w:id="4" w:name="_Toc43312956"/>
      <w:bookmarkStart w:id="5" w:name="_Toc45115363"/>
      <w:r w:rsidRPr="00B257F0">
        <w:t>Single Nucleotide Variants (SNVs) quality control.</w:t>
      </w:r>
      <w:bookmarkEnd w:id="3"/>
      <w:bookmarkEnd w:id="4"/>
      <w:bookmarkEnd w:id="5"/>
    </w:p>
    <w:p w14:paraId="0AEE2AFC" w14:textId="69B030E2" w:rsidR="008E4641" w:rsidRPr="008E4641" w:rsidRDefault="008E4641" w:rsidP="008E4641">
      <w:pPr>
        <w:spacing w:line="276" w:lineRule="auto"/>
        <w:rPr>
          <w:rFonts w:asciiTheme="majorBidi" w:hAnsiTheme="majorBidi" w:cstheme="majorBidi"/>
          <w:b/>
          <w:bCs/>
          <w:sz w:val="20"/>
          <w:szCs w:val="20"/>
        </w:rPr>
      </w:pPr>
      <w:r w:rsidRPr="00B257F0">
        <w:rPr>
          <w:rFonts w:asciiTheme="majorBidi" w:hAnsiTheme="majorBidi" w:cstheme="majorBidi"/>
          <w:sz w:val="20"/>
          <w:szCs w:val="20"/>
        </w:rPr>
        <w:t>A series of standard quality controls were applied to select the single nucleotide variants (SNVs) for the MTAG analysis. Variant exclusion criteria: 1) Not common to the summary statistics of the traits, 2) Minor allele frequency lower or equal to 0.01, 3) Missing values, 4) Negative standard error or not a number value. 5) P-value of 0, 6) Not SNVs, 7) Duplicated SNVs, 8) Strand ambiguity, and 8) Inconsistent allele pairs. After QCs, a total of 6,808,676 SNVs were selected (</w:t>
      </w:r>
      <w:proofErr w:type="spellStart"/>
      <w:r w:rsidRPr="00B257F0">
        <w:rPr>
          <w:rFonts w:asciiTheme="majorBidi" w:hAnsiTheme="majorBidi" w:cstheme="majorBidi"/>
          <w:sz w:val="20"/>
          <w:szCs w:val="20"/>
        </w:rPr>
        <w:t>eFigure</w:t>
      </w:r>
      <w:proofErr w:type="spellEnd"/>
      <w:r w:rsidRPr="00B257F0">
        <w:rPr>
          <w:rFonts w:asciiTheme="majorBidi" w:hAnsiTheme="majorBidi" w:cstheme="majorBidi"/>
          <w:sz w:val="20"/>
          <w:szCs w:val="20"/>
        </w:rPr>
        <w:t xml:space="preserve"> 1). Locus 15q21.3 prioritized genes </w:t>
      </w:r>
      <w:r w:rsidRPr="00B257F0">
        <w:rPr>
          <w:rFonts w:asciiTheme="majorBidi" w:hAnsiTheme="majorBidi" w:cstheme="majorBidi"/>
          <w:i/>
          <w:iCs/>
          <w:sz w:val="20"/>
          <w:szCs w:val="20"/>
        </w:rPr>
        <w:t>GCOM1</w:t>
      </w:r>
      <w:r w:rsidRPr="00B257F0">
        <w:rPr>
          <w:rFonts w:asciiTheme="majorBidi" w:hAnsiTheme="majorBidi" w:cstheme="majorBidi"/>
          <w:sz w:val="20"/>
          <w:szCs w:val="20"/>
        </w:rPr>
        <w:t xml:space="preserve"> and </w:t>
      </w:r>
      <w:r w:rsidRPr="00B257F0">
        <w:rPr>
          <w:rFonts w:asciiTheme="majorBidi" w:hAnsiTheme="majorBidi" w:cstheme="majorBidi"/>
          <w:i/>
          <w:iCs/>
          <w:sz w:val="20"/>
          <w:szCs w:val="20"/>
        </w:rPr>
        <w:t>MYZAP</w:t>
      </w:r>
      <w:r w:rsidRPr="00B257F0">
        <w:rPr>
          <w:rFonts w:asciiTheme="majorBidi" w:hAnsiTheme="majorBidi" w:cstheme="majorBidi"/>
          <w:sz w:val="20"/>
          <w:szCs w:val="20"/>
        </w:rPr>
        <w:t xml:space="preserve"> for AF-2018 was not evaluated due to absent of the significant SNVs of AF-2018 in the MEGASTROKE-CES analysis.</w:t>
      </w:r>
      <w:bookmarkStart w:id="6" w:name="_Hlk59362428"/>
      <w:bookmarkStart w:id="7" w:name="_Hlk59361700"/>
      <w:bookmarkEnd w:id="2"/>
    </w:p>
    <w:p w14:paraId="19144ADF" w14:textId="63FDF33F" w:rsidR="008E4641" w:rsidRDefault="008E4641" w:rsidP="008E4641">
      <w:pPr>
        <w:autoSpaceDE w:val="0"/>
        <w:autoSpaceDN w:val="0"/>
        <w:adjustRightInd w:val="0"/>
        <w:spacing w:after="0" w:line="276" w:lineRule="auto"/>
        <w:rPr>
          <w:rFonts w:asciiTheme="majorBidi" w:hAnsiTheme="majorBidi" w:cstheme="majorBidi"/>
          <w:b/>
          <w:bCs/>
          <w:sz w:val="20"/>
          <w:szCs w:val="20"/>
        </w:rPr>
      </w:pPr>
      <w:r w:rsidRPr="00B257F0">
        <w:rPr>
          <w:rFonts w:asciiTheme="majorBidi" w:hAnsiTheme="majorBidi" w:cstheme="majorBidi"/>
          <w:b/>
          <w:bCs/>
          <w:sz w:val="20"/>
          <w:szCs w:val="20"/>
        </w:rPr>
        <w:t>1.</w:t>
      </w:r>
      <w:r w:rsidR="00D55D73">
        <w:rPr>
          <w:rFonts w:asciiTheme="majorBidi" w:hAnsiTheme="majorBidi" w:cstheme="majorBidi"/>
          <w:b/>
          <w:bCs/>
          <w:sz w:val="20"/>
          <w:szCs w:val="20"/>
        </w:rPr>
        <w:t>1.</w:t>
      </w:r>
      <w:r w:rsidRPr="00B257F0">
        <w:rPr>
          <w:rFonts w:asciiTheme="majorBidi" w:hAnsiTheme="majorBidi" w:cstheme="majorBidi"/>
          <w:b/>
          <w:bCs/>
          <w:sz w:val="20"/>
          <w:szCs w:val="20"/>
        </w:rPr>
        <w:t>3.</w:t>
      </w:r>
      <w:r w:rsidRPr="00B257F0">
        <w:rPr>
          <w:rFonts w:asciiTheme="majorBidi" w:hAnsiTheme="majorBidi" w:cstheme="majorBidi"/>
          <w:sz w:val="20"/>
          <w:szCs w:val="20"/>
        </w:rPr>
        <w:t xml:space="preserve"> </w:t>
      </w:r>
      <w:r w:rsidRPr="001D4F55">
        <w:rPr>
          <w:rFonts w:asciiTheme="majorBidi" w:hAnsiTheme="majorBidi" w:cstheme="majorBidi"/>
          <w:b/>
          <w:bCs/>
          <w:sz w:val="20"/>
          <w:szCs w:val="20"/>
        </w:rPr>
        <w:t>Replication</w:t>
      </w:r>
      <w:r>
        <w:rPr>
          <w:rFonts w:asciiTheme="majorBidi" w:hAnsiTheme="majorBidi" w:cstheme="majorBidi"/>
          <w:sz w:val="20"/>
          <w:szCs w:val="20"/>
        </w:rPr>
        <w:t xml:space="preserve"> </w:t>
      </w:r>
      <w:r w:rsidRPr="00B257F0">
        <w:rPr>
          <w:rFonts w:asciiTheme="majorBidi" w:hAnsiTheme="majorBidi" w:cstheme="majorBidi"/>
          <w:b/>
          <w:bCs/>
          <w:sz w:val="20"/>
          <w:szCs w:val="20"/>
        </w:rPr>
        <w:t xml:space="preserve">GWAS </w:t>
      </w:r>
      <w:r>
        <w:rPr>
          <w:rFonts w:asciiTheme="majorBidi" w:hAnsiTheme="majorBidi" w:cstheme="majorBidi"/>
          <w:b/>
          <w:bCs/>
          <w:sz w:val="20"/>
          <w:szCs w:val="20"/>
        </w:rPr>
        <w:t>in GENERACION cohort</w:t>
      </w:r>
      <w:bookmarkStart w:id="8" w:name="_Toc38821140"/>
      <w:bookmarkStart w:id="9" w:name="_Toc43312958"/>
      <w:bookmarkStart w:id="10" w:name="_Toc45115365"/>
      <w:bookmarkEnd w:id="6"/>
      <w:bookmarkEnd w:id="7"/>
    </w:p>
    <w:p w14:paraId="3A6CC896" w14:textId="5D899999" w:rsidR="008E4641" w:rsidRPr="008E4641" w:rsidRDefault="008E4641" w:rsidP="008E4641">
      <w:pPr>
        <w:autoSpaceDE w:val="0"/>
        <w:autoSpaceDN w:val="0"/>
        <w:adjustRightInd w:val="0"/>
        <w:spacing w:after="0" w:line="276" w:lineRule="auto"/>
        <w:rPr>
          <w:rFonts w:asciiTheme="majorBidi" w:hAnsiTheme="majorBidi" w:cstheme="majorBidi"/>
          <w:b/>
          <w:bCs/>
          <w:sz w:val="20"/>
          <w:szCs w:val="20"/>
        </w:rPr>
      </w:pPr>
      <w:r>
        <w:rPr>
          <w:rFonts w:asciiTheme="majorBidi" w:hAnsiTheme="majorBidi" w:cstheme="majorBidi"/>
          <w:b/>
          <w:bCs/>
          <w:sz w:val="20"/>
          <w:szCs w:val="20"/>
        </w:rPr>
        <w:t>1.</w:t>
      </w:r>
      <w:r w:rsidR="00D55D73">
        <w:rPr>
          <w:rFonts w:asciiTheme="majorBidi" w:hAnsiTheme="majorBidi" w:cstheme="majorBidi"/>
          <w:b/>
          <w:bCs/>
          <w:sz w:val="20"/>
          <w:szCs w:val="20"/>
        </w:rPr>
        <w:t>1</w:t>
      </w:r>
      <w:r>
        <w:rPr>
          <w:rFonts w:asciiTheme="majorBidi" w:hAnsiTheme="majorBidi" w:cstheme="majorBidi"/>
          <w:b/>
          <w:bCs/>
          <w:sz w:val="20"/>
          <w:szCs w:val="20"/>
        </w:rPr>
        <w:t>.</w:t>
      </w:r>
      <w:r w:rsidR="00D55D73">
        <w:rPr>
          <w:rFonts w:asciiTheme="majorBidi" w:hAnsiTheme="majorBidi" w:cstheme="majorBidi"/>
          <w:b/>
          <w:bCs/>
          <w:sz w:val="20"/>
          <w:szCs w:val="20"/>
        </w:rPr>
        <w:t>3.1</w:t>
      </w:r>
      <w:r>
        <w:rPr>
          <w:rFonts w:asciiTheme="majorBidi" w:hAnsiTheme="majorBidi" w:cstheme="majorBidi"/>
          <w:b/>
          <w:bCs/>
          <w:sz w:val="20"/>
          <w:szCs w:val="20"/>
        </w:rPr>
        <w:t xml:space="preserve"> </w:t>
      </w:r>
      <w:r w:rsidRPr="008E4641">
        <w:rPr>
          <w:b/>
          <w:bCs/>
        </w:rPr>
        <w:t>Study population</w:t>
      </w:r>
      <w:bookmarkEnd w:id="8"/>
      <w:bookmarkEnd w:id="9"/>
      <w:bookmarkEnd w:id="10"/>
    </w:p>
    <w:p w14:paraId="7A57E70C" w14:textId="77777777" w:rsidR="008E4641" w:rsidRPr="00B257F0" w:rsidRDefault="008E4641" w:rsidP="008E4641">
      <w:pPr>
        <w:spacing w:line="276" w:lineRule="auto"/>
        <w:rPr>
          <w:rFonts w:asciiTheme="majorBidi" w:hAnsiTheme="majorBidi" w:cstheme="majorBidi"/>
          <w:sz w:val="20"/>
          <w:szCs w:val="20"/>
        </w:rPr>
      </w:pPr>
      <w:r w:rsidRPr="00B257F0">
        <w:rPr>
          <w:rFonts w:asciiTheme="majorBidi" w:hAnsiTheme="majorBidi" w:cstheme="majorBidi"/>
          <w:sz w:val="20"/>
          <w:szCs w:val="20"/>
        </w:rPr>
        <w:t>We performed analysis in GENERACION study</w:t>
      </w:r>
      <w:r>
        <w:rPr>
          <w:rFonts w:asciiTheme="majorBidi" w:hAnsiTheme="majorBidi" w:cstheme="majorBidi"/>
          <w:sz w:val="20"/>
          <w:szCs w:val="20"/>
        </w:rPr>
        <w:t xml:space="preserve"> cohort</w:t>
      </w:r>
      <w:r w:rsidRPr="00B257F0">
        <w:rPr>
          <w:rFonts w:asciiTheme="majorBidi" w:hAnsiTheme="majorBidi" w:cstheme="majorBidi"/>
          <w:sz w:val="20"/>
          <w:szCs w:val="20"/>
        </w:rPr>
        <w:t xml:space="preserve"> (Spain). </w:t>
      </w:r>
      <w:r w:rsidRPr="001227D8">
        <w:rPr>
          <w:rFonts w:asciiTheme="majorBidi" w:hAnsiTheme="majorBidi" w:cstheme="majorBidi"/>
          <w:sz w:val="20"/>
          <w:szCs w:val="20"/>
        </w:rPr>
        <w:t>9,10</w:t>
      </w:r>
      <w:r>
        <w:rPr>
          <w:rFonts w:asciiTheme="majorBidi" w:hAnsiTheme="majorBidi" w:cstheme="majorBidi"/>
          <w:sz w:val="20"/>
          <w:szCs w:val="20"/>
        </w:rPr>
        <w:t>5</w:t>
      </w:r>
      <w:r w:rsidRPr="001227D8">
        <w:rPr>
          <w:rFonts w:asciiTheme="majorBidi" w:hAnsiTheme="majorBidi" w:cstheme="majorBidi"/>
          <w:sz w:val="20"/>
          <w:szCs w:val="20"/>
        </w:rPr>
        <w:t xml:space="preserve"> individuals (3,479 IS and 5,62</w:t>
      </w:r>
      <w:r>
        <w:rPr>
          <w:rFonts w:asciiTheme="majorBidi" w:hAnsiTheme="majorBidi" w:cstheme="majorBidi"/>
          <w:sz w:val="20"/>
          <w:szCs w:val="20"/>
        </w:rPr>
        <w:t>6</w:t>
      </w:r>
      <w:r w:rsidRPr="001227D8">
        <w:rPr>
          <w:rFonts w:asciiTheme="majorBidi" w:hAnsiTheme="majorBidi" w:cstheme="majorBidi"/>
          <w:sz w:val="20"/>
          <w:szCs w:val="20"/>
        </w:rPr>
        <w:t xml:space="preserve"> controls). </w:t>
      </w:r>
      <w:proofErr w:type="gramStart"/>
      <w:r w:rsidRPr="001227D8">
        <w:rPr>
          <w:rFonts w:asciiTheme="majorBidi" w:hAnsiTheme="majorBidi" w:cstheme="majorBidi"/>
          <w:sz w:val="20"/>
          <w:szCs w:val="20"/>
        </w:rPr>
        <w:t>IS</w:t>
      </w:r>
      <w:proofErr w:type="gramEnd"/>
      <w:r w:rsidRPr="001227D8">
        <w:rPr>
          <w:rFonts w:asciiTheme="majorBidi" w:hAnsiTheme="majorBidi" w:cstheme="majorBidi"/>
          <w:sz w:val="20"/>
          <w:szCs w:val="20"/>
        </w:rPr>
        <w:t xml:space="preserve"> patients were recruited via hospital-based studies between 2003 and 2020. The participants were part of the Genetics of Early Neurological Instability After Ischemic Stroke (GENISIS), Genetic contribution to Functional Outcome and Disability after Stroke (GODS), the Genetic Study in Ischemic Stroke Patients treated with tPA (</w:t>
      </w:r>
      <w:proofErr w:type="spellStart"/>
      <w:r w:rsidRPr="001227D8">
        <w:rPr>
          <w:rFonts w:asciiTheme="majorBidi" w:hAnsiTheme="majorBidi" w:cstheme="majorBidi"/>
          <w:sz w:val="20"/>
          <w:szCs w:val="20"/>
        </w:rPr>
        <w:t>GenoTPA</w:t>
      </w:r>
      <w:proofErr w:type="spellEnd"/>
      <w:r w:rsidRPr="001227D8">
        <w:rPr>
          <w:rFonts w:asciiTheme="majorBidi" w:hAnsiTheme="majorBidi" w:cstheme="majorBidi"/>
          <w:sz w:val="20"/>
          <w:szCs w:val="20"/>
        </w:rPr>
        <w:t xml:space="preserve">), the </w:t>
      </w:r>
      <w:proofErr w:type="spellStart"/>
      <w:r w:rsidRPr="001227D8">
        <w:rPr>
          <w:rFonts w:asciiTheme="majorBidi" w:hAnsiTheme="majorBidi" w:cstheme="majorBidi"/>
          <w:sz w:val="20"/>
          <w:szCs w:val="20"/>
        </w:rPr>
        <w:t>CONtrol</w:t>
      </w:r>
      <w:proofErr w:type="spellEnd"/>
      <w:r w:rsidRPr="001227D8">
        <w:rPr>
          <w:rFonts w:asciiTheme="majorBidi" w:hAnsiTheme="majorBidi" w:cstheme="majorBidi"/>
          <w:sz w:val="20"/>
          <w:szCs w:val="20"/>
        </w:rPr>
        <w:t xml:space="preserve"> </w:t>
      </w:r>
      <w:proofErr w:type="spellStart"/>
      <w:r w:rsidRPr="001227D8">
        <w:rPr>
          <w:rFonts w:asciiTheme="majorBidi" w:hAnsiTheme="majorBidi" w:cstheme="majorBidi"/>
          <w:sz w:val="20"/>
          <w:szCs w:val="20"/>
        </w:rPr>
        <w:t>ICtus</w:t>
      </w:r>
      <w:proofErr w:type="spellEnd"/>
      <w:r w:rsidRPr="001227D8">
        <w:rPr>
          <w:rFonts w:asciiTheme="majorBidi" w:hAnsiTheme="majorBidi" w:cstheme="majorBidi"/>
          <w:sz w:val="20"/>
          <w:szCs w:val="20"/>
        </w:rPr>
        <w:t xml:space="preserve"> (CONIC), and SEDMAN studies. Controls were subjects without a history of ischemic stroke, aged over 18 years, who declared they were free of neurovascular diseases before recruitment. The control cohort was collected in blood donation at primary care centers in Barcelona and in hospitals throughout Spain as a part of the GCAT, </w:t>
      </w:r>
      <w:proofErr w:type="spellStart"/>
      <w:r w:rsidRPr="001227D8">
        <w:rPr>
          <w:rFonts w:asciiTheme="majorBidi" w:hAnsiTheme="majorBidi" w:cstheme="majorBidi"/>
          <w:sz w:val="20"/>
          <w:szCs w:val="20"/>
        </w:rPr>
        <w:t>CONtrol</w:t>
      </w:r>
      <w:proofErr w:type="spellEnd"/>
      <w:r w:rsidRPr="001227D8">
        <w:rPr>
          <w:rFonts w:asciiTheme="majorBidi" w:hAnsiTheme="majorBidi" w:cstheme="majorBidi"/>
          <w:sz w:val="20"/>
          <w:szCs w:val="20"/>
        </w:rPr>
        <w:t xml:space="preserve"> </w:t>
      </w:r>
      <w:proofErr w:type="spellStart"/>
      <w:r w:rsidRPr="001227D8">
        <w:rPr>
          <w:rFonts w:asciiTheme="majorBidi" w:hAnsiTheme="majorBidi" w:cstheme="majorBidi"/>
          <w:sz w:val="20"/>
          <w:szCs w:val="20"/>
        </w:rPr>
        <w:t>ICtus</w:t>
      </w:r>
      <w:proofErr w:type="spellEnd"/>
      <w:r w:rsidRPr="001227D8">
        <w:rPr>
          <w:rFonts w:asciiTheme="majorBidi" w:hAnsiTheme="majorBidi" w:cstheme="majorBidi"/>
          <w:sz w:val="20"/>
          <w:szCs w:val="20"/>
        </w:rPr>
        <w:t xml:space="preserve"> (CONIC), Investigating Silent Stroke in </w:t>
      </w:r>
      <w:proofErr w:type="spellStart"/>
      <w:r w:rsidRPr="001227D8">
        <w:rPr>
          <w:rFonts w:asciiTheme="majorBidi" w:hAnsiTheme="majorBidi" w:cstheme="majorBidi"/>
          <w:sz w:val="20"/>
          <w:szCs w:val="20"/>
        </w:rPr>
        <w:t>hYpertensives</w:t>
      </w:r>
      <w:proofErr w:type="spellEnd"/>
      <w:r w:rsidRPr="001227D8">
        <w:rPr>
          <w:rFonts w:asciiTheme="majorBidi" w:hAnsiTheme="majorBidi" w:cstheme="majorBidi"/>
          <w:sz w:val="20"/>
          <w:szCs w:val="20"/>
        </w:rPr>
        <w:t xml:space="preserve">: A magnetic resonance imaging Study (ISSYS) and the Genotyping Recurrence Risk of Stroke (GRECOS) projects. </w:t>
      </w:r>
      <w:r>
        <w:rPr>
          <w:rFonts w:asciiTheme="majorBidi" w:hAnsiTheme="majorBidi" w:cstheme="majorBidi"/>
          <w:sz w:val="20"/>
          <w:szCs w:val="20"/>
        </w:rPr>
        <w:t>A</w:t>
      </w:r>
      <w:r w:rsidRPr="001227D8">
        <w:rPr>
          <w:rFonts w:asciiTheme="majorBidi" w:hAnsiTheme="majorBidi" w:cstheme="majorBidi"/>
          <w:sz w:val="20"/>
          <w:szCs w:val="20"/>
        </w:rPr>
        <w:t xml:space="preserve">rray information, contribution of hospitals and clinical description of the cohort </w:t>
      </w:r>
      <w:r>
        <w:rPr>
          <w:rFonts w:asciiTheme="majorBidi" w:hAnsiTheme="majorBidi" w:cstheme="majorBidi"/>
          <w:sz w:val="20"/>
          <w:szCs w:val="20"/>
        </w:rPr>
        <w:t>are present in Online Tables</w:t>
      </w:r>
      <w:r w:rsidRPr="00D6320A">
        <w:rPr>
          <w:rFonts w:asciiTheme="majorBidi" w:hAnsiTheme="majorBidi" w:cstheme="majorBidi"/>
          <w:sz w:val="20"/>
          <w:szCs w:val="20"/>
        </w:rPr>
        <w:t xml:space="preserve"> </w:t>
      </w:r>
      <w:r>
        <w:rPr>
          <w:rFonts w:asciiTheme="majorBidi" w:hAnsiTheme="majorBidi" w:cstheme="majorBidi"/>
          <w:sz w:val="20"/>
          <w:szCs w:val="20"/>
        </w:rPr>
        <w:t>I</w:t>
      </w:r>
      <w:r w:rsidRPr="00D6320A">
        <w:rPr>
          <w:rFonts w:asciiTheme="majorBidi" w:hAnsiTheme="majorBidi" w:cstheme="majorBidi"/>
          <w:sz w:val="20"/>
          <w:szCs w:val="20"/>
        </w:rPr>
        <w:t>-</w:t>
      </w:r>
      <w:r>
        <w:rPr>
          <w:rFonts w:asciiTheme="majorBidi" w:hAnsiTheme="majorBidi" w:cstheme="majorBidi"/>
          <w:sz w:val="20"/>
          <w:szCs w:val="20"/>
        </w:rPr>
        <w:t>III.</w:t>
      </w:r>
      <w:r w:rsidRPr="00B257F0">
        <w:rPr>
          <w:rFonts w:asciiTheme="majorBidi" w:hAnsiTheme="majorBidi" w:cstheme="majorBidi"/>
          <w:sz w:val="20"/>
          <w:szCs w:val="20"/>
        </w:rPr>
        <w:t xml:space="preserve"> </w:t>
      </w:r>
    </w:p>
    <w:p w14:paraId="1947BF48" w14:textId="77777777" w:rsidR="008E4641" w:rsidRPr="00B257F0" w:rsidRDefault="008E4641" w:rsidP="008E4641">
      <w:pPr>
        <w:spacing w:line="276" w:lineRule="auto"/>
        <w:rPr>
          <w:rFonts w:asciiTheme="majorBidi" w:hAnsiTheme="majorBidi" w:cstheme="majorBidi"/>
          <w:sz w:val="20"/>
          <w:szCs w:val="20"/>
        </w:rPr>
      </w:pPr>
      <w:r w:rsidRPr="00B257F0">
        <w:rPr>
          <w:rFonts w:asciiTheme="majorBidi" w:hAnsiTheme="majorBidi" w:cstheme="majorBidi"/>
          <w:sz w:val="20"/>
          <w:szCs w:val="20"/>
        </w:rPr>
        <w:t xml:space="preserve">The ischemic stroke </w:t>
      </w:r>
      <w:bookmarkStart w:id="11" w:name="_Hlk73701866"/>
      <w:r w:rsidRPr="00B257F0">
        <w:rPr>
          <w:rFonts w:asciiTheme="majorBidi" w:hAnsiTheme="majorBidi" w:cstheme="majorBidi"/>
          <w:sz w:val="20"/>
          <w:szCs w:val="20"/>
        </w:rPr>
        <w:t xml:space="preserve">patients were recruited if they had a measurable neurologic deficit on the NIHSS within 6 hours of the last known asymptomatic status, had been diagnosed with stroke by an experienced neurologist, which had been confirmed by neuroimaging and were over 18 years of age. </w:t>
      </w:r>
      <w:bookmarkEnd w:id="11"/>
    </w:p>
    <w:p w14:paraId="7081F3D0" w14:textId="1A136BB2" w:rsidR="008E4641" w:rsidRPr="00B257F0" w:rsidRDefault="008E4641" w:rsidP="008E4641">
      <w:pPr>
        <w:spacing w:line="276" w:lineRule="auto"/>
        <w:rPr>
          <w:rFonts w:asciiTheme="majorBidi" w:hAnsiTheme="majorBidi" w:cstheme="majorBidi"/>
          <w:sz w:val="20"/>
          <w:szCs w:val="20"/>
        </w:rPr>
      </w:pPr>
      <w:r w:rsidRPr="00B257F0">
        <w:rPr>
          <w:rFonts w:asciiTheme="majorBidi" w:hAnsiTheme="majorBidi" w:cstheme="majorBidi"/>
          <w:sz w:val="20"/>
          <w:szCs w:val="20"/>
        </w:rPr>
        <w:t>These patients were recruited as part of the GENISIS</w:t>
      </w:r>
      <w:r w:rsidRPr="00B257F0">
        <w:rPr>
          <w:rFonts w:asciiTheme="majorBidi" w:hAnsiTheme="majorBidi" w:cstheme="majorBidi"/>
          <w:sz w:val="20"/>
          <w:szCs w:val="20"/>
        </w:rPr>
        <w:fldChar w:fldCharType="begin" w:fldLock="1"/>
      </w:r>
      <w:r w:rsidR="003426E1">
        <w:rPr>
          <w:rFonts w:asciiTheme="majorBidi" w:hAnsiTheme="majorBidi" w:cstheme="majorBidi"/>
          <w:sz w:val="20"/>
          <w:szCs w:val="20"/>
        </w:rPr>
        <w:instrText>ADDIN CSL_CITATION {"citationItems":[{"id":"ITEM-1","itemData":{"author":[{"dropping-particle":"","family":"Heitsch","given":"Laura","non-dropping-particle":"","parse-names":false,"suffix":""},{"dropping-particle":"","family":"Ibanez","given":"Laura","non-dropping-particle":"","parse-names":false,"suffix":""},{"dropping-particle":"","family":"Carrera","given":"Caty","non-dropping-particle":"","parse-names":false,"suffix":""},{"dropping-particle":"","family":"Pera","given":"Joanna","non-dropping-particle":"","parse-names":false,"suffix":""},{"dropping-particle":"","family":"Jimenez-Conde","given":"Jordi","non-dropping-particle":"","parse-names":false,"suffix":""},{"dropping-particle":"","family":"Slowik","given":"Agnieszka","non-dropping-particle":"","parse-names":false,"suffix":""},{"dropping-particle":"","family":"Strbian","given":"Daniel","non-dropping-particle":"","parse-names":false,"suffix":""},{"dropping-particle":"","family":"Fernandez-Cadenas","given":"Israel","non-dropping-particle":"","parse-names":false,"suffix":""},{"dropping-particle":"","family":"Montaner","given":"Joan","non-dropping-particle":"","parse-names":false,"suffix":""},{"dropping-particle":"","family":"Lee","given":"Jin-Moo","non-dropping-particle":"","parse-names":false,"suffix":""}],"container-title":"International Stroke Conference","id":"ITEM-1","issued":{"date-parts":[["2017"]]},"title":"Meta-analysis of Transethnic Association (MANTRA) Reveals Loci Associated With Neurological Instability After Acute Ischemic Stroke","type":"paper-conference"},"uris":["http://www.mendeley.com/documents/?uuid=2aea921a-e0c1-42ce-98c8-fa0906010d46","http://www.mendeley.com/documents/?uuid=6494a6c7-1199-4c5f-9d60-7b58284c4d9b","http://www.mendeley.com/documents/?uuid=e4445ab3-092f-40b3-8009-a5b10d1f73ac","http://www.mendeley.com/documents/?uuid=8698ac15-daf1-46f4-bdbe-2cbffac94aeb"]}],"mendeley":{"formattedCitation":"(Heitsch et al., 2017)","plainTextFormattedCitation":"(Heitsch et al., 2017)","previouslyFormattedCitation":"&lt;sup&gt;5&lt;/sup&gt;"},"properties":{"noteIndex":0},"schema":"https://github.com/citation-style-language/schema/raw/master/csl-citation.json"}</w:instrText>
      </w:r>
      <w:r w:rsidRPr="00B257F0">
        <w:rPr>
          <w:rFonts w:asciiTheme="majorBidi" w:hAnsiTheme="majorBidi" w:cstheme="majorBidi"/>
          <w:sz w:val="20"/>
          <w:szCs w:val="20"/>
        </w:rPr>
        <w:fldChar w:fldCharType="separate"/>
      </w:r>
      <w:r w:rsidR="003426E1" w:rsidRPr="003426E1">
        <w:rPr>
          <w:rFonts w:asciiTheme="majorBidi" w:hAnsiTheme="majorBidi" w:cstheme="majorBidi"/>
          <w:noProof/>
          <w:sz w:val="20"/>
          <w:szCs w:val="20"/>
        </w:rPr>
        <w:t>(Heitsch et al., 2017)</w:t>
      </w:r>
      <w:r w:rsidRPr="00B257F0">
        <w:rPr>
          <w:rFonts w:asciiTheme="majorBidi" w:hAnsiTheme="majorBidi" w:cstheme="majorBidi"/>
          <w:sz w:val="20"/>
          <w:szCs w:val="20"/>
        </w:rPr>
        <w:fldChar w:fldCharType="end"/>
      </w:r>
      <w:r w:rsidRPr="00B257F0">
        <w:rPr>
          <w:rFonts w:asciiTheme="majorBidi" w:hAnsiTheme="majorBidi" w:cstheme="majorBidi"/>
          <w:sz w:val="20"/>
          <w:szCs w:val="20"/>
        </w:rPr>
        <w:t>, GODS</w:t>
      </w:r>
      <w:r w:rsidRPr="00B257F0">
        <w:rPr>
          <w:rFonts w:asciiTheme="majorBidi" w:hAnsiTheme="majorBidi" w:cstheme="majorBidi"/>
          <w:sz w:val="20"/>
          <w:szCs w:val="20"/>
        </w:rPr>
        <w:fldChar w:fldCharType="begin" w:fldLock="1"/>
      </w:r>
      <w:r w:rsidR="003426E1">
        <w:rPr>
          <w:rFonts w:asciiTheme="majorBidi" w:hAnsiTheme="majorBidi" w:cstheme="majorBidi"/>
          <w:sz w:val="20"/>
          <w:szCs w:val="20"/>
        </w:rPr>
        <w:instrText>ADDIN CSL_CITATION {"citationItems":[{"id":"ITEM-1","itemData":{"DOI":"10.1161/CIRCRESAHA.118.313533","ISSN":"15244571","PMID":"30582445","abstract":"Rationale: Ischemic stroke is among the leading causes of adult disability. Part of the variability in functional outcome after stroke has been attributed to genetic factors but no locus has been consistently associated with stroke outcome. Objective: Our aim was to identify genetic loci influencing the recovery process using accurate phenotyping to produce the largest GWAS (genome-wide association study) in ischemic stroke recovery to date. Methods and Results: A 12-cohort, 2-phase (discovery-replication and joint) meta-analysis of GWAS included anterior-territory and previously independent ischemic stroke cases. Functional outcome was recorded using 3-month modified Rankin Scale. Analyses were adjusted for confounders such as discharge National Institutes of Health Stroke Scale. A gene-based burden test was performed. The discovery phase (n=1225) was followed by open (n=2482) and stringent joint-analyses (n=1791). Those cohorts with modified Rankin Scale recorded at time points other than 3-month or incomplete data on previous functional status were excluded in the stringent analyses. Novel variants in PATJ (Pals1-associated tight junction) gene were associated with worse functional outcome at 3-month after stroke. The top variant was rs76221407 (G allele, β=0.40, P=1.70×10-9). Conclusions: Our results identify a set of common variants in PATJ gene associated with 3-month functional outcome at genome-wide significance level. Future studies should examine the role of PATJ in stroke recovery and consider stringent phenotyping to enrich the information captured to unveil additional stroke outcome loci.","author":[{"dropping-particle":"","family":"Mola-Caminal","given":"Marina","non-dropping-particle":"","parse-names":false,"suffix":""},{"dropping-particle":"","family":"Carrera","given":"Caty","non-dropping-particle":"","parse-names":false,"suffix":""},{"dropping-particle":"","family":"Soriano-Tárraga","given":"Carolina","non-dropping-particle":"","parse-names":false,"suffix":""},{"dropping-particle":"","family":"Giralt-Steinhauer","given":"Eva","non-dropping-particle":"","parse-names":false,"suffix":""},{"dropping-particle":"","family":"Díaz-Navarro","given":"Rosa M.","non-dropping-particle":"","parse-names":false,"suffix":""},{"dropping-particle":"","family":"Tur","given":"Sílvia","non-dropping-particle":"","parse-names":false,"suffix":""},{"dropping-particle":"","family":"Jiménez","given":"Carmen","non-dropping-particle":"","parse-names":false,"suffix":""},{"dropping-particle":"","family":"Medina-Dols","given":"Aina","non-dropping-particle":"","parse-names":false,"suffix":""},{"dropping-particle":"","family":"Cullell","given":"Natàlia","non-dropping-particle":"","parse-names":false,"suffix":""},{"dropping-particle":"","family":"Torres-Aguila","given":"Nuria P.","non-dropping-particle":"","parse-names":false,"suffix":""},{"dropping-particle":"","family":"Muiño","given":"Elena","non-dropping-particle":"","parse-names":false,"suffix":""},{"dropping-particle":"","family":"Rodríguez-Campello","given":"Ana","non-dropping-particle":"","parse-names":false,"suffix":""},{"dropping-particle":"","family":"Ois","given":"Angel","non-dropping-particle":"","parse-names":false,"suffix":""},{"dropping-particle":"","family":"Cuadrado-Godia","given":"Elisa","non-dropping-particle":"","parse-names":false,"suffix":""},{"dropping-particle":"","family":"Vivanco-Hidalgo","given":"Rosa M.","non-dropping-particle":"","parse-names":false,"suffix":""},{"dropping-particle":"","family":"Hernandez-Guillamon","given":"Mar","non-dropping-particle":"","parse-names":false,"suffix":""},{"dropping-particle":"","family":"Solé","given":"Montse","non-dropping-particle":"","parse-names":false,"suffix":""},{"dropping-particle":"","family":"Delgado","given":"Pilar","non-dropping-particle":"","parse-names":false,"suffix":""},{"dropping-particle":"","family":"Bustamante","given":"Alejandro","non-dropping-particle":"","parse-names":false,"suffix":""},{"dropping-particle":"","family":"García-Berrocoso","given":"Teresa","non-dropping-particle":"","parse-names":false,"suffix":""},{"dropping-particle":"","family":"Mendióroz","given":"Maite","non-dropping-particle":"","parse-names":false,"suffix":""},{"dropping-particle":"","family":"Castellanos","given":"Mar","non-dropping-particle":"","parse-names":false,"suffix":""},{"dropping-particle":"","family":"Serena","given":"Joaquín","non-dropping-particle":"","parse-names":false,"suffix":""},{"dropping-particle":"","family":"Martí-Fàbregas","given":"Joan","non-dropping-particle":"","parse-names":false,"suffix":""},{"dropping-particle":"","family":"Segura","given":"Tomás","non-dropping-particle":"","parse-names":false,"suffix":""},{"dropping-particle":"","family":"Serrano-Heras","given":"Gemma","non-dropping-particle":"","parse-names":false,"suffix":""},{"dropping-particle":"","family":"Obach","given":"Victor","non-dropping-particle":"","parse-names":false,"suffix":""},{"dropping-particle":"","family":"Ribó","given":"Marc","non-dropping-particle":"","parse-names":false,"suffix":""},{"dropping-particle":"","family":"Molina","given":"Carlos A.","non-dropping-particle":"","parse-names":false,"suffix":""},{"dropping-particle":"","family":"Alvarez-Sabín","given":"José","non-dropping-particle":"","parse-names":false,"suffix":""},{"dropping-particle":"","family":"Palomeras","given":"Ernest","non-dropping-particle":"","parse-names":false,"suffix":""},{"dropping-particle":"","family":"Freijo","given":"Mar","non-dropping-particle":"","parse-names":false,"suffix":""},{"dropping-particle":"","family":"Font","given":"Maria A.","non-dropping-particle":"","parse-names":false,"suffix":""},{"dropping-particle":"","family":"Rosand","given":"Jonathan","non-dropping-particle":"","parse-names":false,"suffix":""},{"dropping-particle":"","family":"Rost","given":"Natalia S.","non-dropping-particle":"","parse-names":false,"suffix":""},{"dropping-particle":"","family":"Gallego-Fabrega","given":"Cristina","non-dropping-particle":"","parse-names":false,"suffix":""},{"dropping-particle":"","family":"Lee","given":"Jin Moo","non-dropping-particle":"","parse-names":false,"suffix":""},{"dropping-particle":"","family":"Heitsch","given":"Laura","non-dropping-particle":"","parse-names":false,"suffix":""},{"dropping-particle":"","family":"Ibanez","given":"Laura","non-dropping-particle":"","parse-names":false,"suffix":""},{"dropping-particle":"","family":"Cruchaga","given":"Carlos","non-dropping-particle":"","parse-names":false,"suffix":""},{"dropping-particle":"","family":"Phuah","given":"Chia Ling","non-dropping-particle":"","parse-names":false,"suffix":""},{"dropping-particle":"","family":"Lemmens","given":"Robin","non-dropping-particle":"","parse-names":false,"suffix":""},{"dropping-particle":"","family":"Thijs","given":"Vincent","non-dropping-particle":"","parse-names":false,"suffix":""},{"dropping-particle":"","family":"Lindgren","given":"Arne","non-dropping-particle":"","parse-names":false,"suffix":""},{"dropping-particle":"","family":"Maguire","given":"Jane","non-dropping-particle":"","parse-names":false,"suffix":""},{"dropping-particle":"","family":"Rannikmae","given":"Kristiina","non-dropping-particle":"","parse-names":false,"suffix":""},{"dropping-particle":"","family":"Sudlow","given":"Catherine L.","non-dropping-particle":"","parse-names":false,"suffix":""},{"dropping-particle":"","family":"Jern","given":"Christina","non-dropping-particle":"","parse-names":false,"suffix":""},{"dropping-particle":"","family":"Stanne","given":"Tara M.","non-dropping-particle":"","parse-names":false,"suffix":""},{"dropping-particle":"","family":"Lorentzen","given":"Erik","non-dropping-particle":"","parse-names":false,"suffix":""},{"dropping-particle":"","family":"Muñoz-Narbona","given":"Lucía","non-dropping-particle":"","parse-names":false,"suffix":""},{"dropping-particle":"","family":"Dávalos","given":"Antonio","non-dropping-particle":"","parse-names":false,"suffix":""},{"dropping-particle":"","family":"López-Cancio","given":"Elena","non-dropping-particle":"","parse-names":false,"suffix":""},{"dropping-particle":"","family":"Worrall","given":"Bradford B.","non-dropping-particle":"","parse-names":false,"suffix":""},{"dropping-particle":"","family":"Woo","given":"Daniel","non-dropping-particle":"","parse-names":false,"suffix":""},{"dropping-particle":"","family":"Kittner","given":"Steven J.","non-dropping-particle":"","parse-names":false,"suffix":""},{"dropping-particle":"","family":"Mitchell","given":"Braxton D.","non-dropping-particle":"","parse-names":false,"suffix":""},{"dropping-particle":"","family":"Montaner","given":"Joan","non-dropping-particle":"","parse-names":false,"suffix":""},{"dropping-particle":"","family":"Roquer","given":"Jaume","non-dropping-particle":"","parse-names":false,"suffix":""},{"dropping-particle":"","family":"Krupinski","given":"Jurek","non-dropping-particle":"","parse-names":false,"suffix":""},{"dropping-particle":"","family":"Estivill","given":"Xavier","non-dropping-particle":"","parse-names":false,"suffix":""},{"dropping-particle":"","family":"Rabionet","given":"Raquel","non-dropping-particle":"","parse-names":false,"suffix":""},{"dropping-particle":"","family":"Vives-Bauzá","given":"Cristòfol","non-dropping-particle":"","parse-names":false,"suffix":""},{"dropping-particle":"","family":"Fernández-Cadenas","given":"Israel","non-dropping-particle":"","parse-names":false,"suffix":""},{"dropping-particle":"","family":"Jimenez-Conde","given":"Jordi","non-dropping-particle":"","parse-names":false,"suffix":""}],"container-title":"Circulation Research","id":"ITEM-1","issue":"1","issued":{"date-parts":[["2019","1","4"]]},"page":"114-120","publisher":"Lippincott Williams and Wilkins","title":"PATJ Low Frequency Variants Are Associated with Worse Ischemic Stroke Functional Outcome: A Genome-Wide Meta-Analysis","type":"article-journal","volume":"124"},"uris":["http://www.mendeley.com/documents/?uuid=483f09ca-c9ea-3f46-b582-4a0143e4c0a3"]}],"mendeley":{"formattedCitation":"(Mola-Caminal et al., 2019a)","plainTextFormattedCitation":"(Mola-Caminal et al., 2019a)","previouslyFormattedCitation":"&lt;sup&gt;6&lt;/sup&gt;"},"properties":{"noteIndex":0},"schema":"https://github.com/citation-style-language/schema/raw/master/csl-citation.json"}</w:instrText>
      </w:r>
      <w:r w:rsidRPr="00B257F0">
        <w:rPr>
          <w:rFonts w:asciiTheme="majorBidi" w:hAnsiTheme="majorBidi" w:cstheme="majorBidi"/>
          <w:sz w:val="20"/>
          <w:szCs w:val="20"/>
        </w:rPr>
        <w:fldChar w:fldCharType="separate"/>
      </w:r>
      <w:r w:rsidR="003426E1" w:rsidRPr="003426E1">
        <w:rPr>
          <w:rFonts w:asciiTheme="majorBidi" w:hAnsiTheme="majorBidi" w:cstheme="majorBidi"/>
          <w:noProof/>
          <w:sz w:val="20"/>
          <w:szCs w:val="20"/>
        </w:rPr>
        <w:t>(Mola-Caminal et al., 2019a)</w:t>
      </w:r>
      <w:r w:rsidRPr="00B257F0">
        <w:rPr>
          <w:rFonts w:asciiTheme="majorBidi" w:hAnsiTheme="majorBidi" w:cstheme="majorBidi"/>
          <w:sz w:val="20"/>
          <w:szCs w:val="20"/>
        </w:rPr>
        <w:fldChar w:fldCharType="end"/>
      </w:r>
      <w:r w:rsidRPr="00B257F0">
        <w:rPr>
          <w:rFonts w:asciiTheme="majorBidi" w:hAnsiTheme="majorBidi" w:cstheme="majorBidi"/>
          <w:sz w:val="20"/>
          <w:szCs w:val="20"/>
        </w:rPr>
        <w:t>, and CONIC</w:t>
      </w:r>
      <w:r w:rsidRPr="00B257F0">
        <w:rPr>
          <w:rFonts w:asciiTheme="majorBidi" w:hAnsiTheme="majorBidi" w:cstheme="majorBidi"/>
          <w:sz w:val="20"/>
          <w:szCs w:val="20"/>
        </w:rPr>
        <w:fldChar w:fldCharType="begin" w:fldLock="1"/>
      </w:r>
      <w:r w:rsidR="003426E1">
        <w:rPr>
          <w:rFonts w:asciiTheme="majorBidi" w:hAnsiTheme="majorBidi" w:cstheme="majorBidi"/>
          <w:sz w:val="20"/>
          <w:szCs w:val="20"/>
        </w:rPr>
        <w:instrText>ADDIN CSL_CITATION {"citationItems":[{"id":"ITEM-1","itemData":{"DOI":"10.1016/j.atherosclerosis.2009.07.023","ISSN":"1879-1484","PMID":"19647252","abstract":"BACKGROUND Genetic factors contribute to the development of ischemic stroke (IS). In order to identify susceptibility variants, we analyzed single nucleotide polymorphisms (SNPs) that had been previously linked to stroke in a genome-wide association study. METHODS We analyzed 12 SNPs in a White population comprising IS patients and healthy controls. The analysis was adjusted for confounding variables and stratified by stroke etiology. Functional studies were then performed to elucidate the role of these variants in IS. RESULTS In a preliminary analysis of 268 controls and 531 IS cases, the rs10947803 SNP of KCNK17 (p=0.012) and the rs7506045 of IMPA2 (p=0.040) were associated with IS, although only the KCNK17 gene was an independent risk factor for IS. In a second phase, analysis of 271 new IS cases revealed that the A allele of rs10947803 was associated with stroke after correction for Bonferroni (OR=1.48; 95% CI, 1.14-1.91, p=0.003). Gene expression analysis revealed that KCNK17 mRNA levels were higher in the IS cases in the acute phase than in controls (14+/-78% vs. 91+/-41, p=0.002) but not in the chronic phase (56+/-57%; p=0.230). Moreover, RNA levels depended on the alleles of the rs10947803 SNP in the control group (p=0.021) and in the chronic phase (p=0.033). CONCLUSIONS The A allele of the rs10947803 variant of KCNK17 was associated with increased risk of IS and increased levels of KCNK17 gene expression. The role of this potassium channel gene in IS opens diagnostic and therapeutic expectations and merits further investigation.","author":[{"dropping-particle":"","family":"Domingues-Montanari","given":"Sophie","non-dropping-particle":"","parse-names":false,"suffix":""},{"dropping-particle":"","family":"Fernández-Cadenas","given":"Israel","non-dropping-particle":"","parse-names":false,"suffix":""},{"dropping-particle":"","family":"Río-Espinola","given":"Alberto","non-dropping-particle":"Del","parse-names":false,"suffix":""},{"dropping-particle":"","family":"Mendioroz","given":"Maite","non-dropping-particle":"","parse-names":false,"suffix":""},{"dropping-particle":"","family":"Fernandez-Morales","given":"Jessica","non-dropping-particle":"","parse-names":false,"suffix":""},{"dropping-particle":"","family":"Corbeto","given":"Natalia","non-dropping-particle":"","parse-names":false,"suffix":""},{"dropping-particle":"","family":"Delgado","given":"Pilar","non-dropping-particle":"","parse-names":false,"suffix":""},{"dropping-particle":"","family":"Ribó","given":"Marc","non-dropping-particle":"","parse-names":false,"suffix":""},{"dropping-particle":"","family":"Rubiera","given":"Marta","non-dropping-particle":"","parse-names":false,"suffix":""},{"dropping-particle":"","family":"Obach","given":"Victor","non-dropping-particle":"","parse-names":false,"suffix":""},{"dropping-particle":"","family":"Martí-Fàbregas","given":"Joan","non-dropping-particle":"","parse-names":false,"suffix":""},{"dropping-particle":"","family":"Freijo","given":"Marimar","non-dropping-particle":"","parse-names":false,"suffix":""},{"dropping-particle":"","family":"Serena","given":"Joaquin","non-dropping-particle":"","parse-names":false,"suffix":""},{"dropping-particle":"","family":"Montaner","given":"Joan","non-dropping-particle":"","parse-names":false,"suffix":""}],"container-title":"Atherosclerosis","id":"ITEM-1","issue":"1","issued":{"date-parts":[["2010","1"]]},"page":"203-9","title":"KCNK17 genetic variants in ischemic stroke.","type":"article-journal","volume":"208"},"uris":["http://www.mendeley.com/documents/?uuid=b7f3ef4c-5649-4b4c-b016-9abcb3c8c51a","http://www.mendeley.com/documents/?uuid=b1b6c165-de6d-46c1-8791-e22840d79013","http://www.mendeley.com/documents/?uuid=95946ff1-42ed-4ee1-8d32-dc5404e19d4c","http://www.mendeley.com/documents/?uuid=a43a4372-216f-4949-9217-514a6ae6796a"]}],"mendeley":{"formattedCitation":"(Domingues-Montanari et al., 2010)","plainTextFormattedCitation":"(Domingues-Montanari et al., 2010)","previouslyFormattedCitation":"&lt;sup&gt;7&lt;/sup&gt;"},"properties":{"noteIndex":0},"schema":"https://github.com/citation-style-language/schema/raw/master/csl-citation.json"}</w:instrText>
      </w:r>
      <w:r w:rsidRPr="00B257F0">
        <w:rPr>
          <w:rFonts w:asciiTheme="majorBidi" w:hAnsiTheme="majorBidi" w:cstheme="majorBidi"/>
          <w:sz w:val="20"/>
          <w:szCs w:val="20"/>
        </w:rPr>
        <w:fldChar w:fldCharType="separate"/>
      </w:r>
      <w:r w:rsidR="003426E1" w:rsidRPr="003426E1">
        <w:rPr>
          <w:rFonts w:asciiTheme="majorBidi" w:hAnsiTheme="majorBidi" w:cstheme="majorBidi"/>
          <w:noProof/>
          <w:sz w:val="20"/>
          <w:szCs w:val="20"/>
        </w:rPr>
        <w:t>(Domingues-Montanari et al., 2010)</w:t>
      </w:r>
      <w:r w:rsidRPr="00B257F0">
        <w:rPr>
          <w:rFonts w:asciiTheme="majorBidi" w:hAnsiTheme="majorBidi" w:cstheme="majorBidi"/>
          <w:sz w:val="20"/>
          <w:szCs w:val="20"/>
        </w:rPr>
        <w:fldChar w:fldCharType="end"/>
      </w:r>
      <w:r w:rsidRPr="00B257F0">
        <w:rPr>
          <w:rFonts w:asciiTheme="majorBidi" w:hAnsiTheme="majorBidi" w:cstheme="majorBidi"/>
          <w:sz w:val="20"/>
          <w:szCs w:val="20"/>
        </w:rPr>
        <w:t xml:space="preserve"> projects.</w:t>
      </w:r>
    </w:p>
    <w:p w14:paraId="17ED6A3B" w14:textId="7D5DEE16" w:rsidR="008E4641" w:rsidRPr="003426E1" w:rsidRDefault="008E4641" w:rsidP="008E4641">
      <w:pPr>
        <w:spacing w:line="276" w:lineRule="auto"/>
        <w:rPr>
          <w:rFonts w:asciiTheme="majorBidi" w:hAnsiTheme="majorBidi" w:cstheme="majorBidi"/>
          <w:sz w:val="20"/>
          <w:szCs w:val="20"/>
          <w:lang w:val="es-ES"/>
        </w:rPr>
      </w:pPr>
      <w:r w:rsidRPr="00B257F0">
        <w:rPr>
          <w:rFonts w:asciiTheme="majorBidi" w:hAnsiTheme="majorBidi" w:cstheme="majorBidi"/>
          <w:sz w:val="20"/>
          <w:szCs w:val="20"/>
        </w:rPr>
        <w:t>Controls were subjects without a history of ischemic stroke, aged over 18 years, who declared they were free of neurovascular diseases before recruitment. The control cohort was collected in blood donation and primary care centers in Barcelona and in hospitals throughout Spain as a part of the GCAT</w:t>
      </w:r>
      <w:r w:rsidRPr="00B257F0">
        <w:rPr>
          <w:rFonts w:asciiTheme="majorBidi" w:hAnsiTheme="majorBidi" w:cstheme="majorBidi"/>
          <w:sz w:val="20"/>
          <w:szCs w:val="20"/>
        </w:rPr>
        <w:fldChar w:fldCharType="begin" w:fldLock="1"/>
      </w:r>
      <w:r w:rsidR="003426E1">
        <w:rPr>
          <w:rFonts w:asciiTheme="majorBidi" w:hAnsiTheme="majorBidi" w:cstheme="majorBidi"/>
          <w:sz w:val="20"/>
          <w:szCs w:val="20"/>
        </w:rPr>
        <w:instrText>ADDIN CSL_CITATION {"citationItems":[{"id":"ITEM-1","itemData":{"DOI":"10.1136/bmjopen-2017-018324","ISSN":"2044-6055","author":[{"dropping-particle":"","family":"Obón-Santacana","given":"Mireia","non-dropping-particle":"","parse-names":false,"suffix":""},{"dropping-particle":"","family":"Vilardell","given":"Mireia","non-dropping-particle":"","parse-names":false,"suffix":""},{"dropping-particle":"","family":"Carreras","given":"Anna","non-dropping-particle":"","parse-names":false,"suffix":""},{"dropping-particle":"","family":"Duran","given":"Xavier","non-dropping-particle":"","parse-names":false,"suffix":""},{"dropping-particle":"","family":"Velasco","given":"Juan","non-dropping-particle":"","parse-names":false,"suffix":""},{"dropping-particle":"","family":"Galván-Femenía","given":"Iván","non-dropping-particle":"","parse-names":false,"suffix":""},{"dropping-particle":"","family":"Alonso","given":"Teresa","non-dropping-particle":"","parse-names":false,"suffix":""},{"dropping-particle":"","family":"Puig","given":"Lluís","non-dropping-particle":"","parse-names":false,"suffix":""},{"dropping-particle":"","family":"Sumoy","given":"Lauro","non-dropping-particle":"","parse-names":false,"suffix":""},{"dropping-particle":"","family":"Duell","given":"Eric J","non-dropping-particle":"","parse-names":false,"suffix":""},{"dropping-particle":"","family":"Perucho","given":"Manuel","non-dropping-particle":"","parse-names":false,"suffix":""},{"dropping-particle":"","family":"Moreno","given":"Victor","non-dropping-particle":"","parse-names":false,"suffix":""},{"dropping-particle":"","family":"Cid","given":"Rafael","non-dropping-particle":"de","parse-names":false,"suffix":""}],"container-title":"BMJ Open","id":"ITEM-1","issue":"3","issued":{"date-parts":[["2018","3"]]},"page":"e018324","title":"GCAT|Genomes for life: a prospective cohort study of the genomes of Catalonia","type":"article-journal","volume":"8"},"uris":["http://www.mendeley.com/documents/?uuid=96b09715-f306-41da-84a9-249c521fb2c0","http://www.mendeley.com/documents/?uuid=72e0807f-204a-4adc-8389-721ffc2c9394","http://www.mendeley.com/documents/?uuid=34b248e0-360b-4dda-b15f-6e5880c54394","http://www.mendeley.com/documents/?uuid=adb1762d-2755-4fc8-84bc-081a967051b3"]}],"mendeley":{"formattedCitation":"(Obón-Santacana et al., 2018)","plainTextFormattedCitation":"(Obón-Santacana et al., 2018)","previouslyFormattedCitation":"&lt;sup&gt;8&lt;/sup&gt;"},"properties":{"noteIndex":0},"schema":"https://github.com/citation-style-language/schema/raw/master/csl-citation.json"}</w:instrText>
      </w:r>
      <w:r w:rsidRPr="00B257F0">
        <w:rPr>
          <w:rFonts w:asciiTheme="majorBidi" w:hAnsiTheme="majorBidi" w:cstheme="majorBidi"/>
          <w:sz w:val="20"/>
          <w:szCs w:val="20"/>
        </w:rPr>
        <w:fldChar w:fldCharType="separate"/>
      </w:r>
      <w:r w:rsidR="003426E1" w:rsidRPr="003426E1">
        <w:rPr>
          <w:rFonts w:asciiTheme="majorBidi" w:hAnsiTheme="majorBidi" w:cstheme="majorBidi"/>
          <w:noProof/>
          <w:sz w:val="20"/>
          <w:szCs w:val="20"/>
        </w:rPr>
        <w:t>(Obón-Santacana et al., 2018)</w:t>
      </w:r>
      <w:r w:rsidRPr="00B257F0">
        <w:rPr>
          <w:rFonts w:asciiTheme="majorBidi" w:hAnsiTheme="majorBidi" w:cstheme="majorBidi"/>
          <w:sz w:val="20"/>
          <w:szCs w:val="20"/>
        </w:rPr>
        <w:fldChar w:fldCharType="end"/>
      </w:r>
      <w:r w:rsidRPr="00B257F0">
        <w:rPr>
          <w:rFonts w:asciiTheme="majorBidi" w:hAnsiTheme="majorBidi" w:cstheme="majorBidi"/>
          <w:sz w:val="20"/>
          <w:szCs w:val="20"/>
        </w:rPr>
        <w:t xml:space="preserve"> (</w:t>
      </w:r>
      <w:proofErr w:type="spellStart"/>
      <w:r w:rsidRPr="00B257F0">
        <w:rPr>
          <w:rFonts w:asciiTheme="majorBidi" w:hAnsiTheme="majorBidi" w:cstheme="majorBidi"/>
          <w:sz w:val="20"/>
          <w:szCs w:val="20"/>
        </w:rPr>
        <w:t>Galván-Femenia</w:t>
      </w:r>
      <w:proofErr w:type="spellEnd"/>
      <w:r w:rsidRPr="00B257F0">
        <w:rPr>
          <w:rFonts w:asciiTheme="majorBidi" w:hAnsiTheme="majorBidi" w:cstheme="majorBidi"/>
          <w:sz w:val="20"/>
          <w:szCs w:val="20"/>
        </w:rPr>
        <w:t>, I, 2018), CONIC</w:t>
      </w:r>
      <w:r w:rsidRPr="00B257F0">
        <w:rPr>
          <w:rFonts w:asciiTheme="majorBidi" w:hAnsiTheme="majorBidi" w:cstheme="majorBidi"/>
          <w:sz w:val="20"/>
          <w:szCs w:val="20"/>
        </w:rPr>
        <w:fldChar w:fldCharType="begin" w:fldLock="1"/>
      </w:r>
      <w:r w:rsidR="003426E1">
        <w:rPr>
          <w:rFonts w:asciiTheme="majorBidi" w:hAnsiTheme="majorBidi" w:cstheme="majorBidi"/>
          <w:sz w:val="20"/>
          <w:szCs w:val="20"/>
        </w:rPr>
        <w:instrText>ADDIN CSL_CITATION {"citationItems":[{"id":"ITEM-1","itemData":{"DOI":"10.1016/j.atherosclerosis.2009.07.023","ISSN":"1879-1484","PMID":"19647252","abstract":"BACKGROUND Genetic factors contribute to the development of ischemic stroke (IS). In order to identify susceptibility variants, we analyzed single nucleotide polymorphisms (SNPs) that had been previously linked to stroke in a genome-wide association study. METHODS We analyzed 12 SNPs in a White population comprising IS patients and healthy controls. The analysis was adjusted for confounding variables and stratified by stroke etiology. Functional studies were then performed to elucidate the role of these variants in IS. RESULTS In a preliminary analysis of 268 controls and 531 IS cases, the rs10947803 SNP of KCNK17 (p=0.012) and the rs7506045 of IMPA2 (p=0.040) were associated with IS, although only the KCNK17 gene was an independent risk factor for IS. In a second phase, analysis of 271 new IS cases revealed that the A allele of rs10947803 was associated with stroke after correction for Bonferroni (OR=1.48; 95% CI, 1.14-1.91, p=0.003). Gene expression analysis revealed that KCNK17 mRNA levels were higher in the IS cases in the acute phase than in controls (14+/-78% vs. 91+/-41, p=0.002) but not in the chronic phase (56+/-57%; p=0.230). Moreover, RNA levels depended on the alleles of the rs10947803 SNP in the control group (p=0.021) and in the chronic phase (p=0.033). CONCLUSIONS The A allele of the rs10947803 variant of KCNK17 was associated with increased risk of IS and increased levels of KCNK17 gene expression. The role of this potassium channel gene in IS opens diagnostic and therapeutic expectations and merits further investigation.","author":[{"dropping-particle":"","family":"Domingues-Montanari","given":"Sophie","non-dropping-particle":"","parse-names":false,"suffix":""},{"dropping-particle":"","family":"Fernández-Cadenas","given":"Israel","non-dropping-particle":"","parse-names":false,"suffix":""},{"dropping-particle":"","family":"Río-Espinola","given":"Alberto","non-dropping-particle":"Del","parse-names":false,"suffix":""},{"dropping-particle":"","family":"Mendioroz","given":"Maite","non-dropping-particle":"","parse-names":false,"suffix":""},{"dropping-particle":"","family":"Fernandez-Morales","given":"Jessica","non-dropping-particle":"","parse-names":false,"suffix":""},{"dropping-particle":"","family":"Corbeto","given":"Natalia","non-dropping-particle":"","parse-names":false,"suffix":""},{"dropping-particle":"","family":"Delgado","given":"Pilar","non-dropping-particle":"","parse-names":false,"suffix":""},{"dropping-particle":"","family":"Ribó","given":"Marc","non-dropping-particle":"","parse-names":false,"suffix":""},{"dropping-particle":"","family":"Rubiera","given":"Marta","non-dropping-particle":"","parse-names":false,"suffix":""},{"dropping-particle":"","family":"Obach","given":"Victor","non-dropping-particle":"","parse-names":false,"suffix":""},{"dropping-particle":"","family":"Martí-Fàbregas","given":"Joan","non-dropping-particle":"","parse-names":false,"suffix":""},{"dropping-particle":"","family":"Freijo","given":"Marimar","non-dropping-particle":"","parse-names":false,"suffix":""},{"dropping-particle":"","family":"Serena","given":"Joaquin","non-dropping-particle":"","parse-names":false,"suffix":""},{"dropping-particle":"","family":"Montaner","given":"Joan","non-dropping-particle":"","parse-names":false,"suffix":""}],"container-title":"Atherosclerosis","id":"ITEM-1","issue":"1","issued":{"date-parts":[["2010","1"]]},"page":"203-9","title":"KCNK17 genetic variants in ischemic stroke.","type":"article-journal","volume":"208"},"uris":["http://www.mendeley.com/documents/?uuid=a43a4372-216f-4949-9217-514a6ae6796a","http://www.mendeley.com/documents/?uuid=95946ff1-42ed-4ee1-8d32-dc5404e19d4c","http://www.mendeley.com/documents/?uuid=b1b6c165-de6d-46c1-8791-e22840d79013","http://www.mendeley.com/documents/?uuid=b7f3ef4c-5649-4b4c-b016-9abcb3c8c51a"]}],"mendeley":{"formattedCitation":"(Domingues-Montanari et al., 2010)","plainTextFormattedCitation":"(Domingues-Montanari et al., 2010)","previouslyFormattedCitation":"&lt;sup&gt;7&lt;/sup&gt;"},"properties":{"noteIndex":0},"schema":"https://github.com/citation-style-language/schema/raw/master/csl-citation.json"}</w:instrText>
      </w:r>
      <w:r w:rsidRPr="00B257F0">
        <w:rPr>
          <w:rFonts w:asciiTheme="majorBidi" w:hAnsiTheme="majorBidi" w:cstheme="majorBidi"/>
          <w:sz w:val="20"/>
          <w:szCs w:val="20"/>
        </w:rPr>
        <w:fldChar w:fldCharType="separate"/>
      </w:r>
      <w:r w:rsidR="003426E1" w:rsidRPr="003426E1">
        <w:rPr>
          <w:rFonts w:asciiTheme="majorBidi" w:hAnsiTheme="majorBidi" w:cstheme="majorBidi"/>
          <w:noProof/>
          <w:sz w:val="20"/>
          <w:szCs w:val="20"/>
        </w:rPr>
        <w:t>(</w:t>
      </w:r>
      <w:proofErr w:type="spellStart"/>
      <w:r w:rsidR="003426E1" w:rsidRPr="003426E1">
        <w:rPr>
          <w:rFonts w:asciiTheme="majorBidi" w:hAnsiTheme="majorBidi" w:cstheme="majorBidi"/>
          <w:noProof/>
          <w:sz w:val="20"/>
          <w:szCs w:val="20"/>
        </w:rPr>
        <w:t>Domingues-Montanari</w:t>
      </w:r>
      <w:proofErr w:type="spellEnd"/>
      <w:r w:rsidR="003426E1" w:rsidRPr="003426E1">
        <w:rPr>
          <w:rFonts w:asciiTheme="majorBidi" w:hAnsiTheme="majorBidi" w:cstheme="majorBidi"/>
          <w:noProof/>
          <w:sz w:val="20"/>
          <w:szCs w:val="20"/>
        </w:rPr>
        <w:t xml:space="preserve"> et al., 2010)</w:t>
      </w:r>
      <w:r w:rsidRPr="00B257F0">
        <w:rPr>
          <w:rFonts w:asciiTheme="majorBidi" w:hAnsiTheme="majorBidi" w:cstheme="majorBidi"/>
          <w:sz w:val="20"/>
          <w:szCs w:val="20"/>
        </w:rPr>
        <w:fldChar w:fldCharType="end"/>
      </w:r>
      <w:r w:rsidRPr="00B257F0">
        <w:rPr>
          <w:rFonts w:asciiTheme="majorBidi" w:hAnsiTheme="majorBidi" w:cstheme="majorBidi"/>
          <w:sz w:val="20"/>
          <w:szCs w:val="20"/>
        </w:rPr>
        <w:t>, GRECOS</w:t>
      </w:r>
      <w:r w:rsidRPr="00B257F0">
        <w:rPr>
          <w:rFonts w:asciiTheme="majorBidi" w:hAnsiTheme="majorBidi" w:cstheme="majorBidi"/>
          <w:sz w:val="20"/>
          <w:szCs w:val="20"/>
        </w:rPr>
        <w:fldChar w:fldCharType="begin" w:fldLock="1"/>
      </w:r>
      <w:r w:rsidR="003426E1">
        <w:rPr>
          <w:rFonts w:asciiTheme="majorBidi" w:hAnsiTheme="majorBidi" w:cstheme="majorBidi"/>
          <w:sz w:val="20"/>
          <w:szCs w:val="20"/>
        </w:rPr>
        <w:instrText>ADDIN CSL_CITATION {"citationItems":[{"id":"ITEM-1","itemData":{"DOI":"10.1161/STROKEAHA.116.014322","ISSN":"0039-2499","author":[{"dropping-particle":"","family":"Fernández-Cadenas","given":"Israel","non-dropping-particle":"","parse-names":false,"suffix":""},{"dropping-particle":"","family":"Mendióroz","given":"Maite","non-dropping-particle":"","parse-names":false,"suffix":""},{"dropping-particle":"","family":"Giralt","given":"Dolors","non-dropping-particle":"","parse-names":false,"suffix":""},{"dropping-particle":"","family":"Nafria","given":"Cristina","non-dropping-particle":"","parse-names":false,"suffix":""},{"dropping-particle":"","family":"Garcia","given":"Elena","non-dropping-particle":"","parse-names":false,"suffix":""},{"dropping-particle":"","family":"Carrera","given":"Caty","non-dropping-particle":"","parse-names":false,"suffix":""},{"dropping-particle":"","family":"Gallego-Fabrega","given":"Cristina","non-dropping-particle":"","parse-names":false,"suffix":""},{"dropping-particle":"","family":"Domingues-Montanari","given":"Sophie","non-dropping-particle":"","parse-names":false,"suffix":""},{"dropping-particle":"","family":"Delgado","given":"Pilar","non-dropping-particle":"","parse-names":false,"suffix":""},{"dropping-particle":"","family":"Ribó","given":"Marc","non-dropping-particle":"","parse-names":false,"suffix":""},{"dropping-particle":"","family":"Castellanos","given":"Mar","non-dropping-particle":"","parse-names":false,"suffix":""},{"dropping-particle":"","family":"Martínez","given":"Sergi","non-dropping-particle":"","parse-names":false,"suffix":""},{"dropping-particle":"","family":"Freijo","given":"Marimar","non-dropping-particle":"","parse-names":false,"suffix":""},{"dropping-particle":"","family":"Jiménez-Conde","given":"Jordi","non-dropping-particle":"","parse-names":false,"suffix":""},{"dropping-particle":"","family":"Rubiera","given":"Marta","non-dropping-particle":"","parse-names":false,"suffix":""},{"dropping-particle":"","family":"Alvarez-Sabín","given":"José","non-dropping-particle":"","parse-names":false,"suffix":""},{"dropping-particle":"","family":"Molina","given":"Carlos A.","non-dropping-particle":"","parse-names":false,"suffix":""},{"dropping-particle":"","family":"Font","given":"Maria Angels","non-dropping-particle":"","parse-names":false,"suffix":""},{"dropping-particle":"","family":"Grau Olivares","given":"Marta","non-dropping-particle":"","parse-names":false,"suffix":""},{"dropping-particle":"","family":"Palomeras","given":"Ernest","non-dropping-particle":"","parse-names":false,"suffix":""},{"dropping-particle":"","family":"Perez de la Ossa","given":"Natalia","non-dropping-particle":"","parse-names":false,"suffix":""},{"dropping-particle":"","family":"Martinez-Zabaleta","given":"Maite","non-dropping-particle":"","parse-names":false,"suffix":""},{"dropping-particle":"","family":"Masjuan","given":"Jaime","non-dropping-particle":"","parse-names":false,"suffix":""},{"dropping-particle":"","family":"Moniche","given":"Francisco","non-dropping-particle":"","parse-names":false,"suffix":""},{"dropping-particle":"","family":"Canovas","given":"David","non-dropping-particle":"","parse-names":false,"suffix":""},{"dropping-particle":"","family":"Piñana","given":"Carlos","non-dropping-particle":"","parse-names":false,"suffix":""},{"dropping-particle":"","family":"Purroy","given":"Francisco","non-dropping-particle":"","parse-names":false,"suffix":""},{"dropping-particle":"","family":"Cocho","given":"Dolores","non-dropping-particle":"","parse-names":false,"suffix":""},{"dropping-particle":"","family":"Navas","given":"Inma","non-dropping-particle":"","parse-names":false,"suffix":""},{"dropping-particle":"","family":"Tejero","given":"Carlos","non-dropping-particle":"","parse-names":false,"suffix":""},{"dropping-particle":"","family":"Aymerich","given":"Nuria","non-dropping-particle":"","parse-names":false,"suffix":""},{"dropping-particle":"","family":"Cullell","given":"Natalia","non-dropping-particle":"","parse-names":false,"suffix":""},{"dropping-particle":"","family":"Muiño","given":"Elena","non-dropping-particle":"","parse-names":false,"suffix":""},{"dropping-particle":"","family":"Serena","given":"Joaquín","non-dropping-particle":"","parse-names":false,"suffix":""},{"dropping-particle":"","family":"Rubio","given":"Francisco","non-dropping-particle":"","parse-names":false,"suffix":""},{"dropping-particle":"","family":"Davalos","given":"Antoni","non-dropping-particle":"","parse-names":false,"suffix":""},{"dropping-particle":"","family":"Roquer","given":"Jaume","non-dropping-particle":"","parse-names":false,"suffix":""},{"dropping-particle":"","family":"Arenillas","given":"Juan Francisco","non-dropping-particle":"","parse-names":false,"suffix":""},{"dropping-particle":"","family":"Martí-Fábregas","given":"Joan","non-dropping-particle":"","parse-names":false,"suffix":""},{"dropping-particle":"","family":"Keene","given":"Keith","non-dropping-particle":"","parse-names":false,"suffix":""},{"dropping-particle":"","family":"Chen","given":"Wei-Min</w:instrText>
      </w:r>
      <w:r w:rsidR="003426E1" w:rsidRPr="003426E1">
        <w:rPr>
          <w:rFonts w:asciiTheme="majorBidi" w:hAnsiTheme="majorBidi" w:cstheme="majorBidi"/>
          <w:sz w:val="20"/>
          <w:szCs w:val="20"/>
          <w:lang w:val="es-ES"/>
        </w:rPr>
        <w:instrText>","non-dropping-particle":"","parse-names":false,"suffix":""},{"dropping-particle":"","family":"Worrall","given":"Bradford","non-dropping-particle":"","parse-names":false,"suffix":""},{"dropping-particle":"","family":"Sale","given":"Michele","non-dropping-particle":"","parse-names":false,"suffix":""},{"dropping-particle":"","family":"Arboix","given":"Adrià","non-dropping-particle":"","parse-names":false,"suffix":""},{"dropping-particle":"","family":"Krupinski","given":"Jerzy","non-dropping-particle":"","parse-names":false,"suffix":""},{"dropping-particle":"","family":"Montaner","given":"Joan","non-dropping-particle":"","parse-names":false,"suffix":""}],"container-title":"Stroke","id":"ITEM-1","issue":"5","issued":{"date-parts":[["2017","5"]]},"page":"1147-1153","title":"GRECOS Project (Genotyping Recurrence Risk of Stroke)","type":"article-journal","volume":"48"},"uris":["http://www.mendeley.com/documents/?uuid=22fc9a6b-9d53-4245-8b85-541b99f2481e","http://www.mendeley.com/documents/?uuid=08533d00-6f86-4e08-8e53-12f2a6d0db8b","http://www.mendeley.com/documents/?uuid=6e387d4c-1b1f-4678-b44b-54c22ba96d20","http://www.mendeley.com/documents/?uuid=7365f6c4-c10a-4046-ab35-1a7c62c5b003"]}],"mendeley":{"formattedCitation":"(Fernández-Cadenas et al., 2017)","plainTextFormattedCitation":"(Fernández-Cadenas et al., 2017)","previouslyFormattedCitation":"&lt;sup&gt;9&lt;/sup&gt;"},"properties":{"noteIndex":0},"schema":"https://github.com/citation-style-language/schema/raw/master/csl-citation.json"}</w:instrText>
      </w:r>
      <w:r w:rsidRPr="00B257F0">
        <w:rPr>
          <w:rFonts w:asciiTheme="majorBidi" w:hAnsiTheme="majorBidi" w:cstheme="majorBidi"/>
          <w:sz w:val="20"/>
          <w:szCs w:val="20"/>
        </w:rPr>
        <w:fldChar w:fldCharType="separate"/>
      </w:r>
      <w:r w:rsidR="003426E1" w:rsidRPr="003426E1">
        <w:rPr>
          <w:rFonts w:asciiTheme="majorBidi" w:hAnsiTheme="majorBidi" w:cstheme="majorBidi"/>
          <w:noProof/>
          <w:sz w:val="20"/>
          <w:szCs w:val="20"/>
          <w:lang w:val="es-ES"/>
        </w:rPr>
        <w:t>(Fernández-Cadenas et al., 2017)</w:t>
      </w:r>
      <w:r w:rsidRPr="00B257F0">
        <w:rPr>
          <w:rFonts w:asciiTheme="majorBidi" w:hAnsiTheme="majorBidi" w:cstheme="majorBidi"/>
          <w:sz w:val="20"/>
          <w:szCs w:val="20"/>
        </w:rPr>
        <w:fldChar w:fldCharType="end"/>
      </w:r>
      <w:r w:rsidRPr="003426E1">
        <w:rPr>
          <w:rFonts w:asciiTheme="majorBidi" w:hAnsiTheme="majorBidi" w:cstheme="majorBidi"/>
          <w:sz w:val="20"/>
          <w:szCs w:val="20"/>
          <w:lang w:val="es-ES"/>
        </w:rPr>
        <w:t>, and ISSYS</w:t>
      </w:r>
      <w:r w:rsidRPr="00B257F0">
        <w:rPr>
          <w:rFonts w:asciiTheme="majorBidi" w:hAnsiTheme="majorBidi" w:cstheme="majorBidi"/>
          <w:sz w:val="20"/>
          <w:szCs w:val="20"/>
        </w:rPr>
        <w:fldChar w:fldCharType="begin" w:fldLock="1"/>
      </w:r>
      <w:r w:rsidR="003426E1" w:rsidRPr="003426E1">
        <w:rPr>
          <w:rFonts w:asciiTheme="majorBidi" w:hAnsiTheme="majorBidi" w:cstheme="majorBidi"/>
          <w:sz w:val="20"/>
          <w:szCs w:val="20"/>
          <w:lang w:val="es-ES"/>
        </w:rPr>
        <w:instrText>ADDIN CSL_CITATION {"citationItems":[{"id":"ITEM-1","itemData":{"DOI":"10.1016/j.jns.2012.06.015","ISSN":"0022510X","author":[{"dropping-particle":"","family":"Riba","given":"I.","non-dropping-particle":"","parse-names":false,"suffix":""},{"dropping-particle":"","family":"Jarca","given":"C.I.","non-dropping-particle":"","parse-names":false,"suffix":""},{"dropping-particle":"","family":"Mundet","given":"X.","non-dropping-particle":"","parse-names":false,"suffix":""},{"dropping-particle":"","family":"Tovar","given":"J.L.","non-dropping-particle":"","parse-names":false,"suffix":""},{"dropping-particle":"","family":"Orfila","given":"F.","non-dropping-particle":"","parse-names":false,"suffix":""},{"dropping-particle":"","family":"Nafría","given":"C.","non-dropping-particle":"","parse-names":false,"suffix":""},{"dropping-particle":"","family":"Raga","given":"A.","non-dropping-particle":"","parse-names":false,"suffix":""},{"dropping-particle":"","family":"Girona","given":"A.","non-dropping-particle":"","parse-names":false,"suffix":""},{"dropping-particle":"","family":"Fernández-Lara","given":"P.","non-dropping-particle":"","parse-names":false,"suffix":""},{"dropping-particle":"","family":"Castañé","given":"X.","non-dropping-particle":"","parse-names":false,"suffix":""},{"dropping-particle":"","family":"Álvarez Sabin","given":"J.","non-dropping-particle":"","parse-names":false,"suffix":""},{"dropping-particle":"","family":"Fernández Cortiñas","given":"I.","non-dropping-particle":"","parse-names":false,"suffix":""},{"dropping-particle":"","family":"Maisterra","given":"O.","non-dropping-particle":"","parse-names":false,"suffix":""},{"dropping-particle":"","family":"Montaner","given":"J.","non-dropping-particle":"","parse-names":false,"suffix":""},{"dropping-particle":"","family":"Delgado","given":"P.","non-dropping-particle":"","parse-names":false,"suffix":""}],"container-title":"Journal of the Neurological Sciences","id":"ITEM-1","issue":"1-2","issued":{"date-parts":[["2012","11"]]},"page":"79-81","title":"Cognitive assessment protocol design in the ISSYS (Investigating Silent Strokes in hYpertensives: A magnetic resonance imaging Study)","type":"article-journal","volume":"322"},"uris":["http://www.mendeley.com/documents/?uuid=50319fc0-8bb8-4180-a647-0c3a55c88ae4","http://www.mendeley.com/documents/?uuid=127716c0-1306-4e4c-b453-c77b33f59926","http://www.mendeley.com/documents/?uuid=33d2f865-1763-45a3-a6a9-9565d56febf6","http://www.mendeley.com/documents/?uuid=bd3e4d1f-cfd8-4297-9558-e8f523dc2c0a"]}],"mendeley":{"formattedCitation":"(Riba et al., 2012)","plainTextFormattedCitation":"(Riba et al., 2012)","previouslyFormattedCitation":"&lt;sup&gt;10&lt;/sup&gt;"},"properties":{"noteIndex":0},"schema":"https://github.com/citation-style-language/schema/raw/master/csl-citation.json"}</w:instrText>
      </w:r>
      <w:r w:rsidRPr="00B257F0">
        <w:rPr>
          <w:rFonts w:asciiTheme="majorBidi" w:hAnsiTheme="majorBidi" w:cstheme="majorBidi"/>
          <w:sz w:val="20"/>
          <w:szCs w:val="20"/>
        </w:rPr>
        <w:fldChar w:fldCharType="separate"/>
      </w:r>
      <w:r w:rsidR="003426E1" w:rsidRPr="003426E1">
        <w:rPr>
          <w:rFonts w:asciiTheme="majorBidi" w:hAnsiTheme="majorBidi" w:cstheme="majorBidi"/>
          <w:noProof/>
          <w:sz w:val="20"/>
          <w:szCs w:val="20"/>
          <w:lang w:val="es-ES"/>
        </w:rPr>
        <w:t>(Riba et al., 2012)</w:t>
      </w:r>
      <w:r w:rsidRPr="00B257F0">
        <w:rPr>
          <w:rFonts w:asciiTheme="majorBidi" w:hAnsiTheme="majorBidi" w:cstheme="majorBidi"/>
          <w:sz w:val="20"/>
          <w:szCs w:val="20"/>
        </w:rPr>
        <w:fldChar w:fldCharType="end"/>
      </w:r>
      <w:r w:rsidRPr="003426E1">
        <w:rPr>
          <w:rFonts w:asciiTheme="majorBidi" w:hAnsiTheme="majorBidi" w:cstheme="majorBidi"/>
          <w:sz w:val="20"/>
          <w:szCs w:val="20"/>
          <w:lang w:val="es-ES"/>
        </w:rPr>
        <w:t xml:space="preserve"> </w:t>
      </w:r>
      <w:proofErr w:type="spellStart"/>
      <w:r w:rsidRPr="003426E1">
        <w:rPr>
          <w:rFonts w:asciiTheme="majorBidi" w:hAnsiTheme="majorBidi" w:cstheme="majorBidi"/>
          <w:sz w:val="20"/>
          <w:szCs w:val="20"/>
          <w:lang w:val="es-ES"/>
        </w:rPr>
        <w:t>projects</w:t>
      </w:r>
      <w:proofErr w:type="spellEnd"/>
      <w:r w:rsidRPr="003426E1">
        <w:rPr>
          <w:rFonts w:asciiTheme="majorBidi" w:hAnsiTheme="majorBidi" w:cstheme="majorBidi"/>
          <w:sz w:val="20"/>
          <w:szCs w:val="20"/>
          <w:lang w:val="es-ES"/>
        </w:rPr>
        <w:t>.</w:t>
      </w:r>
    </w:p>
    <w:p w14:paraId="0A11226B" w14:textId="77777777" w:rsidR="008E4641" w:rsidRPr="00B257F0" w:rsidRDefault="008E4641" w:rsidP="008E4641">
      <w:pPr>
        <w:spacing w:line="276" w:lineRule="auto"/>
        <w:rPr>
          <w:rFonts w:asciiTheme="majorBidi" w:hAnsiTheme="majorBidi" w:cstheme="majorBidi"/>
          <w:sz w:val="20"/>
          <w:szCs w:val="20"/>
        </w:rPr>
      </w:pPr>
      <w:r w:rsidRPr="00B257F0">
        <w:rPr>
          <w:rFonts w:asciiTheme="majorBidi" w:hAnsiTheme="majorBidi" w:cstheme="majorBidi"/>
          <w:sz w:val="20"/>
          <w:szCs w:val="20"/>
        </w:rPr>
        <w:t>Description of the cohorts included:</w:t>
      </w:r>
    </w:p>
    <w:p w14:paraId="4E621333" w14:textId="0F9C1D95" w:rsidR="008E4641" w:rsidRPr="00B257F0" w:rsidRDefault="008E4641" w:rsidP="008E4641">
      <w:pPr>
        <w:spacing w:line="276" w:lineRule="auto"/>
        <w:rPr>
          <w:rFonts w:asciiTheme="majorBidi" w:hAnsiTheme="majorBidi" w:cstheme="majorBidi"/>
          <w:sz w:val="20"/>
          <w:szCs w:val="20"/>
        </w:rPr>
      </w:pPr>
      <w:r w:rsidRPr="00B257F0">
        <w:rPr>
          <w:rFonts w:asciiTheme="majorBidi" w:hAnsiTheme="majorBidi" w:cstheme="majorBidi"/>
          <w:sz w:val="20"/>
          <w:szCs w:val="20"/>
        </w:rPr>
        <w:lastRenderedPageBreak/>
        <w:t>GENISIS cohort.—Genetics of Early Neurological Instability after Ischemic Stroke (GENISIS)</w:t>
      </w:r>
      <w:r w:rsidRPr="00B257F0">
        <w:rPr>
          <w:rFonts w:asciiTheme="majorBidi" w:hAnsiTheme="majorBidi" w:cstheme="majorBidi"/>
          <w:sz w:val="20"/>
          <w:szCs w:val="20"/>
        </w:rPr>
        <w:fldChar w:fldCharType="begin" w:fldLock="1"/>
      </w:r>
      <w:r w:rsidR="003426E1">
        <w:rPr>
          <w:rFonts w:asciiTheme="majorBidi" w:hAnsiTheme="majorBidi" w:cstheme="majorBidi"/>
          <w:sz w:val="20"/>
          <w:szCs w:val="20"/>
        </w:rPr>
        <w:instrText>ADDIN CSL_CITATION {"citationItems":[{"id":"ITEM-1","itemData":{"author":[{"dropping-particle":"","family":"Heitsch","given":"Laura","non-dropping-particle":"","parse-names":false,"suffix":""},{"dropping-particle":"","family":"Ibanez","given":"Laura","non-dropping-particle":"","parse-names":false,"suffix":""},{"dropping-particle":"","family":"Carrera","given":"Caty","non-dropping-particle":"","parse-names":false,"suffix":""},{"dropping-particle":"","family":"Pera","given":"Joanna","non-dropping-particle":"","parse-names":false,"suffix":""},{"dropping-particle":"","family":"Jimenez-Conde","given":"Jordi","non-dropping-particle":"","parse-names":false,"suffix":""},{"dropping-particle":"","family":"Slowik","given":"Agnieszka","non-dropping-particle":"","parse-names":false,"suffix":""},{"dropping-particle":"","family":"Strbian","given":"Daniel","non-dropping-particle":"","parse-names":false,"suffix":""},{"dropping-particle":"","family":"Fernandez-Cadenas","given":"Israel","non-dropping-particle":"","parse-names":false,"suffix":""},{"dropping-particle":"","family":"Montaner","given":"Joan","non-dropping-particle":"","parse-names":false,"suffix":""},{"dropping-particle":"","family":"Lee","given":"Jin-Moo","non-dropping-particle":"","parse-names":false,"suffix":""}],"container-title":"International Stroke Conference","id":"ITEM-1","issued":{"date-parts":[["2017"]]},"title":"Meta-analysis of Transethnic Association (MANTRA) Reveals Loci Associated With Neurological Instability After Acute Ischemic Stroke","type":"paper-conference"},"uris":["http://www.mendeley.com/documents/?uuid=8698ac15-daf1-46f4-bdbe-2cbffac94aeb"]}],"mendeley":{"formattedCitation":"(Heitsch et al., 2017)","plainTextFormattedCitation":"(Heitsch et al., 2017)","previouslyFormattedCitation":"&lt;sup&gt;5&lt;/sup&gt;"},"properties":{"noteIndex":0},"schema":"https://github.com/citation-style-language/schema/raw/master/csl-citation.json"}</w:instrText>
      </w:r>
      <w:r w:rsidRPr="00B257F0">
        <w:rPr>
          <w:rFonts w:asciiTheme="majorBidi" w:hAnsiTheme="majorBidi" w:cstheme="majorBidi"/>
          <w:sz w:val="20"/>
          <w:szCs w:val="20"/>
        </w:rPr>
        <w:fldChar w:fldCharType="separate"/>
      </w:r>
      <w:r w:rsidR="003426E1" w:rsidRPr="003426E1">
        <w:rPr>
          <w:rFonts w:asciiTheme="majorBidi" w:hAnsiTheme="majorBidi" w:cstheme="majorBidi"/>
          <w:noProof/>
          <w:sz w:val="20"/>
          <w:szCs w:val="20"/>
        </w:rPr>
        <w:t>(Heitsch et al., 2017)</w:t>
      </w:r>
      <w:r w:rsidRPr="00B257F0">
        <w:rPr>
          <w:rFonts w:asciiTheme="majorBidi" w:hAnsiTheme="majorBidi" w:cstheme="majorBidi"/>
          <w:sz w:val="20"/>
          <w:szCs w:val="20"/>
        </w:rPr>
        <w:fldChar w:fldCharType="end"/>
      </w:r>
      <w:r w:rsidRPr="00B257F0">
        <w:rPr>
          <w:rFonts w:asciiTheme="majorBidi" w:hAnsiTheme="majorBidi" w:cstheme="majorBidi"/>
          <w:sz w:val="20"/>
          <w:szCs w:val="20"/>
        </w:rPr>
        <w:t xml:space="preserve"> is an international study currently recruiting patients from four different locations: United States, Finland, Poland, and Spain. The inclusion criteria for the GENISIS study are IS patients (age ≥ 18 years) Collected from 2003 to 2016 with a measurable neurologic deficit on the NIHSS within 6 hours of last known normal. Patients who received endovascular thrombectomy, or for whom consent and/or a blood sample could not be obtained were excluded. For our study we only include Spanish patients. Genotyping was performed with Human Core Exome chip (Illumina®).</w:t>
      </w:r>
    </w:p>
    <w:p w14:paraId="23876B70" w14:textId="0BCCE503" w:rsidR="008E4641" w:rsidRPr="00B257F0" w:rsidRDefault="008E4641" w:rsidP="008E4641">
      <w:pPr>
        <w:spacing w:line="276" w:lineRule="auto"/>
        <w:rPr>
          <w:rFonts w:asciiTheme="majorBidi" w:hAnsiTheme="majorBidi" w:cstheme="majorBidi"/>
          <w:sz w:val="20"/>
          <w:szCs w:val="20"/>
        </w:rPr>
      </w:pPr>
      <w:r w:rsidRPr="00B257F0">
        <w:rPr>
          <w:rFonts w:asciiTheme="majorBidi" w:hAnsiTheme="majorBidi" w:cstheme="majorBidi"/>
          <w:sz w:val="20"/>
          <w:szCs w:val="20"/>
        </w:rPr>
        <w:t>GODS cohort.—Genetic contribution to functional Outcome and Disability after Stroke (GODS)</w:t>
      </w:r>
      <w:r w:rsidRPr="00B257F0">
        <w:rPr>
          <w:rFonts w:asciiTheme="majorBidi" w:hAnsiTheme="majorBidi" w:cstheme="majorBidi"/>
          <w:sz w:val="20"/>
          <w:szCs w:val="20"/>
        </w:rPr>
        <w:fldChar w:fldCharType="begin" w:fldLock="1"/>
      </w:r>
      <w:r w:rsidR="003426E1">
        <w:rPr>
          <w:rFonts w:asciiTheme="majorBidi" w:hAnsiTheme="majorBidi" w:cstheme="majorBidi"/>
          <w:sz w:val="20"/>
          <w:szCs w:val="20"/>
        </w:rPr>
        <w:instrText>ADDIN CSL_CITATION {"citationItems":[{"id":"ITEM-1","itemData":{"DOI":"10.1161/CIRCRESAHA.118.313533","ISSN":"0009-7330","PMID":"30582445","author":[{"dropping-particle":"","family":"Mola-Caminal","given":"Marina","non-dropping-particle":"","parse-names":false,"suffix":""},{"dropping-particle":"","family":"Carrera","given":"Caty","non-dropping-particle":"","parse-names":false,"suffix":""},{"dropping-particle":"","family":"Soriano-Tárraga","given":"Carolina","non-dropping-particle":"","parse-names":false,"suffix":""},{"dropping-particle":"","family":"Giralt-Steinhauer","given":"Eva","non-dropping-particle":"","parse-names":false,"suffix":""},{"dropping-particle":"","family":"Díaz-Navarro","given":"Rosa M.","non-dropping-particle":"","parse-names":false,"suffix":""},{"dropping-particle":"","family":"Tur","given":"Sílvia","non-dropping-particle":"","parse-names":false,"suffix":""},{"dropping-particle":"","family":"Jiménez","given":"Carmen","non-dropping-particle":"","parse-names":false,"suffix":""},{"dropping-particle":"","family":"Medina-Dols","given":"Aina","non-dropping-particle":"","parse-names":false,"suffix":""},{"dropping-particle":"","family":"Cullell","given":"Natàlia","non-dropping-particle":"","parse-names":false,"suffix":""},{"dropping-particle":"","family":"Torres-Aguila","given":"Nuria P.","non-dropping-particle":"","parse-names":false,"suffix":""},{"dropping-particle":"","family":"Muiño","given":"Elena","non-dropping-particle":"","parse-names":false,"suffix":""},{"dropping-particle":"","family":"Rodríguez-Campello","given":"Ana","non-dropping-particle":"","parse-names":false,"suffix":""},{"dropping-particle":"","family":"Ois","given":"Angel","non-dropping-particle":"","parse-names":false,"suffix":""},{"dropping-particle":"","family":"Cuadrado-Godia","given":"Elisa","non-dropping-particle":"","parse-names":false,"suffix":""},{"dropping-particle":"","family":"Vivanco-Hidalgo","given":"Rosa M.","non-dropping-particle":"","parse-names":false,"suffix":""},{"dropping-particle":"","family":"Hernandez-Guillamon","given":"Mar","non-dropping-particle":"","parse-names":false,"suffix":""},{"dropping-particle":"","family":"Solé","given":"Montse","non-dropping-particle":"","parse-names":false,"suffix":""},{"dropping-particle":"","family":"Delgado","given":"Pilar","non-dropping-particle":"","parse-names":false,"suffix":""},{"dropping-particle":"","family":"Bustamante","given":"Alejandro","non-dropping-particle":"","parse-names":false,"suffix":""},{"dropping-particle":"","family":"García-Berrocoso","given":"Teresa","non-dropping-particle":"","parse-names":false,"suffix":""},{"dropping-particle":"","family":"Mendióroz","given":"Maite","non-dropping-particle":"","parse-names":false,"suffix":""},{"dropping-particle":"","family":"Castellanos","given":"Mar","non-dropping-particle":"","parse-names":false,"suffix":""},{"dropping-particle":"","family":"Serena","given":"Joaquín","non-dropping-particle":"","parse-names":false,"suffix":""},{"dropping-particle":"","family":"Martí-Fàbregas","given":"Joan","non-dropping-particle":"","parse-names":false,"suffix":""},{"dropping-particle":"","family":"Segura","given":"Tomás","non-dropping-particle":"","parse-names":false,"suffix":""},{"dropping-particle":"","family":"Serrano-Heras","given":"Gemma","non-dropping-particle":"","parse-names":false,"suffix":""},{"dropping-particle":"","family":"Obach","given":"Victor","non-dropping-particle":"","parse-names":false,"suffix":""},{"dropping-particle":"","family":"Ribó","given":"Marc","non-dropping-particle":"","parse-names":false,"suffix":""},{"dropping-particle":"","family":"Molina","given":"Carlos A.","non-dropping-particle":"","parse-names":false,"suffix":""},{"dropping-particle":"","family":"Alvarez-Sabín","given":"José","non-dropping-particle":"","parse-names":false,"suffix":""},{"dropping-particle":"","family":"Palomeras","given":"Ernest","non-dropping-particle":"","parse-names":false,"suffix":""},{"dropping-particle":"","family":"Freijo","given":"Mar","non-dropping-particle":"","parse-names":false,"suffix":""},{"dropping-particle":"","family":"Font","given":"Maria A.","non-dropping-particle":"","parse-names":false,"suffix":""},{"dropping-particle":"","family":"Rosand","given":"Jonathan","non-dropping-particle":"","parse-names":false,"suffix":""},{"dropping-particle":"","family":"Rost","given":"Natalia S.","non-dropping-particle":"","parse-names":false,"suffix":""},{"dropping-particle":"","family":"Gallego-Fabrega","given":"Cristina","non-dropping-particle":"","parse-names":false,"suffix":""},{"dropping-particle":"","family":"Lee","given":"Jin-Moo","non-dropping-particle":"","parse-names":false,"suffix":""},{"dropping-particle":"","family":"Heitsch","given":"Laura","non-dropping-particle":"","parse-names":false,"suffix":""},{"dropping-particle":"","family":"Ibanez","given":"Laura","non-dropping-particle":"","parse-names":false,"suffix":""},{"dropping-particle":"","family":"Cruchaga","given":"Carlos","non-dropping-particle":"","parse-names":false,"suffix":""},{"dropping-particle":"","family":"Phuah","given":"Chia-Ling","non-dropping-particle":"","parse-names":false,"suffix":""},{"dropping-particle":"","family":"Lemmens","given":"Robin","non-dropping-particle":"","parse-names":false,"suffix":""},{"dropping-particle":"","family":"Thijs","given":"Vincent","non-dropping-particle":"","parse-names":false,"suffix":""},{"dropping-particle":"","family":"Lindgren","given":"Arne","non-dropping-particle":"","parse-names":false,"suffix":""},{"dropping-particle":"","family":"Maguire","given":"Jane","non-dropping-particle":"","parse-names":false,"suffix":""},{"dropping-particle":"","family":"Rannikmae","given":"Kristiina","non-dropping-particle":"","parse-names":false,"suffix":""},{"dropping-particle":"","family":"Sudlow","given":"Catherine L.","non-dropping-particle":"","parse-names":false,"suffix":""},{"dropping-particle":"","family":"Jern","given":"Christina","non-dropping-particle":"","parse-names":false,"suffix":""},{"dropping-particle":"","family":"Stanne","given":"Tara M.","non-dropping-particle":"","parse-names":false,"suffix":""},{"dropping-particle":"","family":"Lorentzen","given":"Erik","non-dropping-particle":"","parse-names":false,"suffix":""},{"dropping-particle":"","family":"Muñoz-Narbona","given":"Lucía","non-dropping-particle":"","parse-names":false,"suffix":""},{"dropping-particle":"","family":"Dávalos","given":"Antonio","non-dropping-particle":"","parse-names":false,"suffix":""},{"dropping-particle":"","family":"López-Cancio","given":"Elena","non-dropping-particle":"","parse-names":false,"suffix":""},{"dropping-particle":"","family":"Worrall","given":"Bradford B.","non-dropping-particle":"","parse-names":false,"suffix":""},{"dropping-particle":"","family":"Woo","given":"Daniel","non-dropping-particle":"","parse-names":false,"suffix":""},{"dropping-particle":"","family":"Kittner","given":"Steven J.","non-dropping-particle":"","parse-names":false,"suffix":""},{"dropping-particle":"","family":"Mitchell","given":"Braxton D.","non-dropping-particle":"","parse-names":false,"suffix":""},{"dropping-particle":"","family":"Montaner","given":"Joan","non-dropping-particle":"","parse-names":false,"suffix":""},{"dropping-particle":"","family":"Roquer","given":"Jaume","non-dropping-particle":"","parse-names":false,"suffix":""},{"dropping-particle":"","family":"Krupinski","given":"Jurek","non-dropping-particle":"","parse-names":false,"suffix":""},{"dropping-particle":"","family":"Estivill","given":"Xavier","non-dropping-particle":"","parse-names":false,"suffix":""},{"dropping-particle":"","family":"Rabionet","given":"Raquel","non-dropping-particle":"","parse-names":false,"suffix":""},{"dropping-particle":"","family":"Vives-Bauzá","given":"Cristòfol","non-dropping-particle":"","parse-names":false,"suffix":""},{"dropping-particle":"","family":"Fernández-Cadenas","given":"Israel","non-dropping-particle":"","parse-names":false,"suffix":""},{"dropping-particle":"","family":"Jiménez-Conde","given":"Jordi","non-dropping-particle":"","parse-names":false,"suffix":""}],"container-title":"Circulation Research","id":"ITEM-1","issue":"1","issued":{"date-parts":[["2019"]]},"page":"114-120","title":"&lt;i&gt;PATJ&lt;/i&gt; Low Frequency Variants Are Associated With Worse Ischemic Stroke Functional Outcome","type":"article-journal","volume":"124"},"uris":["http://www.mendeley.com/documents/?uuid=0a7d2211-26a3-4ef7-929d-4190d43d37c9"]}],"mendeley":{"formattedCitation":"(Mola-Caminal et al., 2019b)","plainTextFormattedCitation":"(Mola-Caminal et al., 2019b)","previouslyFormattedCitation":"&lt;sup&gt;11&lt;/sup&gt;"},"properties":{"noteIndex":0},"schema":"https://github.com/citation-style-language/schema/raw/master/csl-citation.json"}</w:instrText>
      </w:r>
      <w:r w:rsidRPr="00B257F0">
        <w:rPr>
          <w:rFonts w:asciiTheme="majorBidi" w:hAnsiTheme="majorBidi" w:cstheme="majorBidi"/>
          <w:sz w:val="20"/>
          <w:szCs w:val="20"/>
        </w:rPr>
        <w:fldChar w:fldCharType="separate"/>
      </w:r>
      <w:r w:rsidR="003426E1" w:rsidRPr="003426E1">
        <w:rPr>
          <w:rFonts w:asciiTheme="majorBidi" w:hAnsiTheme="majorBidi" w:cstheme="majorBidi"/>
          <w:noProof/>
          <w:sz w:val="20"/>
          <w:szCs w:val="20"/>
        </w:rPr>
        <w:t>(Mola-Caminal et al., 2019b)</w:t>
      </w:r>
      <w:r w:rsidRPr="00B257F0">
        <w:rPr>
          <w:rFonts w:asciiTheme="majorBidi" w:hAnsiTheme="majorBidi" w:cstheme="majorBidi"/>
          <w:sz w:val="20"/>
          <w:szCs w:val="20"/>
        </w:rPr>
        <w:fldChar w:fldCharType="end"/>
      </w:r>
      <w:r w:rsidRPr="00B257F0">
        <w:rPr>
          <w:rFonts w:asciiTheme="majorBidi" w:hAnsiTheme="majorBidi" w:cstheme="majorBidi"/>
          <w:sz w:val="20"/>
          <w:szCs w:val="20"/>
        </w:rPr>
        <w:t xml:space="preserve"> project is a study that aim find genetic factors associated to stroke outcome. All participants met the following criteria: (1) European descent, aged &gt;18 years, diagnosis of IS in the anterior vascular territory; (2) assessed by a neurologist during the acute phase of stroke; (3) initial stroke severity &gt;4, according to the National Institutes of Health Stroke Scale (NIHSS); (4) information on post-stroke functional status at 3 months (or alternatively between 3-6 months); (5) evidence of acute IS in a neuroimaging study; (6) lack of concomitant pathology. Individuals with stroke recurrence during the follow-up period were excluded, </w:t>
      </w:r>
      <w:proofErr w:type="gramStart"/>
      <w:r w:rsidRPr="00B257F0">
        <w:rPr>
          <w:rFonts w:asciiTheme="majorBidi" w:hAnsiTheme="majorBidi" w:cstheme="majorBidi"/>
          <w:sz w:val="20"/>
          <w:szCs w:val="20"/>
        </w:rPr>
        <w:t>as well as,</w:t>
      </w:r>
      <w:proofErr w:type="gramEnd"/>
      <w:r w:rsidRPr="00B257F0">
        <w:rPr>
          <w:rFonts w:asciiTheme="majorBidi" w:hAnsiTheme="majorBidi" w:cstheme="majorBidi"/>
          <w:sz w:val="20"/>
          <w:szCs w:val="20"/>
        </w:rPr>
        <w:t xml:space="preserve"> posterior vascular territory and lacunar strokes. Samples were genotyped at the Genetic and Molecular Epidemiology Laboratory of McMaster University (David </w:t>
      </w:r>
      <w:proofErr w:type="spellStart"/>
      <w:r w:rsidRPr="00B257F0">
        <w:rPr>
          <w:rFonts w:asciiTheme="majorBidi" w:hAnsiTheme="majorBidi" w:cstheme="majorBidi"/>
          <w:sz w:val="20"/>
          <w:szCs w:val="20"/>
        </w:rPr>
        <w:t>Braley</w:t>
      </w:r>
      <w:proofErr w:type="spellEnd"/>
      <w:r w:rsidRPr="00B257F0">
        <w:rPr>
          <w:rFonts w:asciiTheme="majorBidi" w:hAnsiTheme="majorBidi" w:cstheme="majorBidi"/>
          <w:sz w:val="20"/>
          <w:szCs w:val="20"/>
        </w:rPr>
        <w:t xml:space="preserve"> Research Institute) in Ontario, Canada, with Human Core Exome chip (Illumina®).</w:t>
      </w:r>
    </w:p>
    <w:p w14:paraId="1D316E59" w14:textId="72389452" w:rsidR="008E4641" w:rsidRPr="00B257F0" w:rsidRDefault="008E4641" w:rsidP="008E4641">
      <w:pPr>
        <w:spacing w:line="276" w:lineRule="auto"/>
        <w:rPr>
          <w:rFonts w:asciiTheme="majorBidi" w:hAnsiTheme="majorBidi" w:cstheme="majorBidi"/>
          <w:sz w:val="20"/>
          <w:szCs w:val="20"/>
        </w:rPr>
      </w:pPr>
      <w:r w:rsidRPr="00B257F0">
        <w:rPr>
          <w:rFonts w:asciiTheme="majorBidi" w:hAnsiTheme="majorBidi" w:cstheme="majorBidi"/>
          <w:sz w:val="20"/>
          <w:szCs w:val="20"/>
        </w:rPr>
        <w:t>CONIC cohort.—</w:t>
      </w:r>
      <w:proofErr w:type="spellStart"/>
      <w:r w:rsidRPr="00B257F0">
        <w:rPr>
          <w:rFonts w:asciiTheme="majorBidi" w:hAnsiTheme="majorBidi" w:cstheme="majorBidi"/>
          <w:sz w:val="20"/>
          <w:szCs w:val="20"/>
        </w:rPr>
        <w:t>CONtrol</w:t>
      </w:r>
      <w:proofErr w:type="spellEnd"/>
      <w:r w:rsidRPr="00B257F0">
        <w:rPr>
          <w:rFonts w:asciiTheme="majorBidi" w:hAnsiTheme="majorBidi" w:cstheme="majorBidi"/>
          <w:sz w:val="20"/>
          <w:szCs w:val="20"/>
        </w:rPr>
        <w:t xml:space="preserve"> </w:t>
      </w:r>
      <w:proofErr w:type="spellStart"/>
      <w:r w:rsidRPr="00B257F0">
        <w:rPr>
          <w:rFonts w:asciiTheme="majorBidi" w:hAnsiTheme="majorBidi" w:cstheme="majorBidi"/>
          <w:sz w:val="20"/>
          <w:szCs w:val="20"/>
        </w:rPr>
        <w:t>ICtus</w:t>
      </w:r>
      <w:proofErr w:type="spellEnd"/>
      <w:r w:rsidRPr="00B257F0">
        <w:rPr>
          <w:rFonts w:asciiTheme="majorBidi" w:hAnsiTheme="majorBidi" w:cstheme="majorBidi"/>
          <w:sz w:val="20"/>
          <w:szCs w:val="20"/>
        </w:rPr>
        <w:t xml:space="preserve"> (CONIC) study</w:t>
      </w:r>
      <w:r w:rsidRPr="00B257F0">
        <w:rPr>
          <w:rFonts w:asciiTheme="majorBidi" w:hAnsiTheme="majorBidi" w:cstheme="majorBidi"/>
          <w:sz w:val="20"/>
          <w:szCs w:val="20"/>
        </w:rPr>
        <w:fldChar w:fldCharType="begin" w:fldLock="1"/>
      </w:r>
      <w:r w:rsidR="003426E1">
        <w:rPr>
          <w:rFonts w:asciiTheme="majorBidi" w:hAnsiTheme="majorBidi" w:cstheme="majorBidi"/>
          <w:sz w:val="20"/>
          <w:szCs w:val="20"/>
        </w:rPr>
        <w:instrText>ADDIN CSL_CITATION {"citationItems":[{"id":"ITEM-1","itemData":{"DOI":"10.1016/j.atherosclerosis.2009.07.023","ISSN":"1879-1484","PMID":"19647252","abstract":"BACKGROUND Genetic factors contribute to the development of ischemic stroke (IS). In order to identify susceptibility variants, we analyzed single nucleotide polymorphisms (SNPs) that had been previously linked to stroke in a genome-wide association study. METHODS We analyzed 12 SNPs in a White population comprising IS patients and healthy controls. The analysis was adjusted for confounding variables and stratified by stroke etiology. Functional studies were then performed to elucidate the role of these variants in IS. RESULTS In a preliminary analysis of 268 controls and 531 IS cases, the rs10947803 SNP of KCNK17 (p=0.012) and the rs7506045 of IMPA2 (p=0.040) were associated with IS, although only the KCNK17 gene was an independent risk factor for IS. In a second phase, analysis of 271 new IS cases revealed that the A allele of rs10947803 was associated with stroke after correction for Bonferroni (OR=1.48; 95% CI, 1.14-1.91, p=0.003). Gene expression analysis revealed that KCNK17 mRNA levels were higher in the IS cases in the acute phase than in controls (14+/-78% vs. 91+/-41, p=0.002) but not in the chronic phase (56+/-57%; p=0.230). Moreover, RNA levels depended on the alleles of the rs10947803 SNP in the control group (p=0.021) and in the chronic phase (p=0.033). CONCLUSIONS The A allele of the rs10947803 variant of KCNK17 was associated with increased risk of IS and increased levels of KCNK17 gene expression. The role of this potassium channel gene in IS opens diagnostic and therapeutic expectations and merits further investigation.","author":[{"dropping-particle":"","family":"Domingues-Montanari","given":"Sophie","non-dropping-particle":"","parse-names":false,"suffix":""},{"dropping-particle":"","family":"Fernández-Cadenas","given":"Israel","non-dropping-particle":"","parse-names":false,"suffix":""},{"dropping-particle":"","family":"Río-Espinola","given":"Alberto","non-dropping-particle":"Del","parse-names":false,"suffix":""},{"dropping-particle":"","family":"Mendioroz","given":"Maite","non-dropping-particle":"","parse-names":false,"suffix":""},{"dropping-particle":"","family":"Fernandez-Morales","given":"Jessica","non-dropping-particle":"","parse-names":false,"suffix":""},{"dropping-particle":"","family":"Corbeto","given":"Natalia","non-dropping-particle":"","parse-names":false,"suffix":""},{"dropping-particle":"","family":"Delgado","given":"Pilar","non-dropping-particle":"","parse-names":false,"suffix":""},{"dropping-particle":"","family":"Ribó","given":"Marc","non-dropping-particle":"","parse-names":false,"suffix":""},{"dropping-particle":"","family":"Rubiera","given":"Marta","non-dropping-particle":"","parse-names":false,"suffix":""},{"dropping-particle":"","family":"Obach","given":"Victor","non-dropping-particle":"","parse-names":false,"suffix":""},{"dropping-particle":"","family":"Martí-Fàbregas","given":"Joan","non-dropping-particle":"","parse-names":false,"suffix":""},{"dropping-particle":"","family":"Freijo","given":"Marimar","non-dropping-particle":"","parse-names":false,"suffix":""},{"dropping-particle":"","family":"Serena","given":"Joaquin","non-dropping-particle":"","parse-names":false,"suffix":""},{"dropping-particle":"","family":"Montaner","given":"Joan","non-dropping-particle":"","parse-names":false,"suffix":""}],"container-title":"Atherosclerosis","id":"ITEM-1","issue":"1","issued":{"date-parts":[["2010","1"]]},"page":"203-9","title":"KCNK17 genetic variants in ischemic stroke.","type":"article-journal","volume":"208"},"uris":["http://www.mendeley.com/documents/?uuid=a43a4372-216f-4949-9217-514a6ae6796a"]}],"mendeley":{"formattedCitation":"(Domingues-Montanari et al., 2010)","plainTextFormattedCitation":"(Domingues-Montanari et al., 2010)","previouslyFormattedCitation":"&lt;sup&gt;7&lt;/sup&gt;"},"properties":{"noteIndex":0},"schema":"https://github.com/citation-style-language/schema/raw/master/csl-citation.json"}</w:instrText>
      </w:r>
      <w:r w:rsidRPr="00B257F0">
        <w:rPr>
          <w:rFonts w:asciiTheme="majorBidi" w:hAnsiTheme="majorBidi" w:cstheme="majorBidi"/>
          <w:sz w:val="20"/>
          <w:szCs w:val="20"/>
        </w:rPr>
        <w:fldChar w:fldCharType="separate"/>
      </w:r>
      <w:r w:rsidR="003426E1" w:rsidRPr="003426E1">
        <w:rPr>
          <w:rFonts w:asciiTheme="majorBidi" w:hAnsiTheme="majorBidi" w:cstheme="majorBidi"/>
          <w:noProof/>
          <w:sz w:val="20"/>
          <w:szCs w:val="20"/>
        </w:rPr>
        <w:t>(</w:t>
      </w:r>
      <w:proofErr w:type="spellStart"/>
      <w:r w:rsidR="003426E1" w:rsidRPr="003426E1">
        <w:rPr>
          <w:rFonts w:asciiTheme="majorBidi" w:hAnsiTheme="majorBidi" w:cstheme="majorBidi"/>
          <w:noProof/>
          <w:sz w:val="20"/>
          <w:szCs w:val="20"/>
        </w:rPr>
        <w:t>Domingues-Montanari</w:t>
      </w:r>
      <w:proofErr w:type="spellEnd"/>
      <w:r w:rsidR="003426E1" w:rsidRPr="003426E1">
        <w:rPr>
          <w:rFonts w:asciiTheme="majorBidi" w:hAnsiTheme="majorBidi" w:cstheme="majorBidi"/>
          <w:noProof/>
          <w:sz w:val="20"/>
          <w:szCs w:val="20"/>
        </w:rPr>
        <w:t xml:space="preserve"> et al., 2010)</w:t>
      </w:r>
      <w:r w:rsidRPr="00B257F0">
        <w:rPr>
          <w:rFonts w:asciiTheme="majorBidi" w:hAnsiTheme="majorBidi" w:cstheme="majorBidi"/>
          <w:sz w:val="20"/>
          <w:szCs w:val="20"/>
        </w:rPr>
        <w:fldChar w:fldCharType="end"/>
      </w:r>
      <w:r w:rsidRPr="00B257F0">
        <w:rPr>
          <w:rFonts w:asciiTheme="majorBidi" w:hAnsiTheme="majorBidi" w:cstheme="majorBidi"/>
          <w:sz w:val="20"/>
          <w:szCs w:val="20"/>
        </w:rPr>
        <w:t xml:space="preserve"> is a national study that recruited controls and IS cases participants in </w:t>
      </w:r>
      <w:proofErr w:type="spellStart"/>
      <w:r w:rsidRPr="00B257F0">
        <w:rPr>
          <w:rFonts w:asciiTheme="majorBidi" w:hAnsiTheme="majorBidi" w:cstheme="majorBidi"/>
          <w:sz w:val="20"/>
          <w:szCs w:val="20"/>
        </w:rPr>
        <w:t>Vall</w:t>
      </w:r>
      <w:proofErr w:type="spellEnd"/>
      <w:r w:rsidRPr="00B257F0">
        <w:rPr>
          <w:rFonts w:asciiTheme="majorBidi" w:hAnsiTheme="majorBidi" w:cstheme="majorBidi"/>
          <w:sz w:val="20"/>
          <w:szCs w:val="20"/>
        </w:rPr>
        <w:t xml:space="preserve"> </w:t>
      </w:r>
      <w:proofErr w:type="spellStart"/>
      <w:r w:rsidRPr="00B257F0">
        <w:rPr>
          <w:rFonts w:asciiTheme="majorBidi" w:hAnsiTheme="majorBidi" w:cstheme="majorBidi"/>
          <w:sz w:val="20"/>
          <w:szCs w:val="20"/>
        </w:rPr>
        <w:t>d’Hebron</w:t>
      </w:r>
      <w:proofErr w:type="spellEnd"/>
      <w:r w:rsidRPr="00B257F0">
        <w:rPr>
          <w:rFonts w:asciiTheme="majorBidi" w:hAnsiTheme="majorBidi" w:cstheme="majorBidi"/>
          <w:sz w:val="20"/>
          <w:szCs w:val="20"/>
        </w:rPr>
        <w:t xml:space="preserve"> Hospital between 2007 and 2008. All controls were older than 65 years of age and declared free of dementia, neurovascular and/or cardiovascular disease, as evaluated by self-description during a direct interview before recruitment. Subjects with a history of first and/or second-degree neurovascular disorder were also excluded from the study.</w:t>
      </w:r>
    </w:p>
    <w:p w14:paraId="0C630AD3" w14:textId="77777777" w:rsidR="008E4641" w:rsidRPr="00B257F0" w:rsidRDefault="008E4641" w:rsidP="008E4641">
      <w:pPr>
        <w:spacing w:line="276" w:lineRule="auto"/>
        <w:rPr>
          <w:rFonts w:asciiTheme="majorBidi" w:hAnsiTheme="majorBidi" w:cstheme="majorBidi"/>
          <w:sz w:val="20"/>
          <w:szCs w:val="20"/>
        </w:rPr>
      </w:pPr>
      <w:r w:rsidRPr="00B257F0">
        <w:rPr>
          <w:rFonts w:asciiTheme="majorBidi" w:hAnsiTheme="majorBidi" w:cstheme="majorBidi"/>
          <w:sz w:val="20"/>
          <w:szCs w:val="20"/>
        </w:rPr>
        <w:t xml:space="preserve">The IS cases were admitted to the emergency department of a university hospital who had a documented middle cerebral artery (MCA) occlusion on transcranial Doppler ultrasonography (TCD) and received tPA in a standard 0.9-mg/kg dose (10% bolus, 90% continuous infusion </w:t>
      </w:r>
      <w:proofErr w:type="gramStart"/>
      <w:r w:rsidRPr="00B257F0">
        <w:rPr>
          <w:rFonts w:asciiTheme="majorBidi" w:hAnsiTheme="majorBidi" w:cstheme="majorBidi"/>
          <w:sz w:val="20"/>
          <w:szCs w:val="20"/>
        </w:rPr>
        <w:t>during</w:t>
      </w:r>
      <w:proofErr w:type="gramEnd"/>
      <w:r w:rsidRPr="00B257F0">
        <w:rPr>
          <w:rFonts w:asciiTheme="majorBidi" w:hAnsiTheme="majorBidi" w:cstheme="majorBidi"/>
          <w:sz w:val="20"/>
          <w:szCs w:val="20"/>
        </w:rPr>
        <w:t xml:space="preserve"> 1 hour) within 3 hours of symptom onset following National Institute of Neurological Disorders and Stroke (NINDS) recommendations. Cases and controls were genotyped with Human Core Exome chip (Illumina®).</w:t>
      </w:r>
    </w:p>
    <w:p w14:paraId="4EA306DC" w14:textId="4E8831E7" w:rsidR="008E4641" w:rsidRPr="00B257F0" w:rsidRDefault="008E4641" w:rsidP="008E4641">
      <w:pPr>
        <w:spacing w:line="276" w:lineRule="auto"/>
        <w:rPr>
          <w:rFonts w:asciiTheme="majorBidi" w:hAnsiTheme="majorBidi" w:cstheme="majorBidi"/>
          <w:sz w:val="20"/>
          <w:szCs w:val="20"/>
        </w:rPr>
      </w:pPr>
      <w:r w:rsidRPr="00B257F0">
        <w:rPr>
          <w:rFonts w:asciiTheme="majorBidi" w:hAnsiTheme="majorBidi" w:cstheme="majorBidi"/>
          <w:sz w:val="20"/>
          <w:szCs w:val="20"/>
        </w:rPr>
        <w:t xml:space="preserve">GRECOS cohort.—Genotyping </w:t>
      </w:r>
      <w:proofErr w:type="spellStart"/>
      <w:r w:rsidRPr="00B257F0">
        <w:rPr>
          <w:rFonts w:asciiTheme="majorBidi" w:hAnsiTheme="majorBidi" w:cstheme="majorBidi"/>
          <w:sz w:val="20"/>
          <w:szCs w:val="20"/>
        </w:rPr>
        <w:t>RECurrence</w:t>
      </w:r>
      <w:proofErr w:type="spellEnd"/>
      <w:r w:rsidRPr="00B257F0">
        <w:rPr>
          <w:rFonts w:asciiTheme="majorBidi" w:hAnsiTheme="majorBidi" w:cstheme="majorBidi"/>
          <w:sz w:val="20"/>
          <w:szCs w:val="20"/>
        </w:rPr>
        <w:t xml:space="preserve"> Risk Of Stroke (GRECOS)</w:t>
      </w:r>
      <w:r w:rsidRPr="00B257F0">
        <w:rPr>
          <w:rFonts w:asciiTheme="majorBidi" w:hAnsiTheme="majorBidi" w:cstheme="majorBidi"/>
          <w:sz w:val="20"/>
          <w:szCs w:val="20"/>
        </w:rPr>
        <w:fldChar w:fldCharType="begin" w:fldLock="1"/>
      </w:r>
      <w:r w:rsidR="003426E1">
        <w:rPr>
          <w:rFonts w:asciiTheme="majorBidi" w:hAnsiTheme="majorBidi" w:cstheme="majorBidi"/>
          <w:sz w:val="20"/>
          <w:szCs w:val="20"/>
        </w:rPr>
        <w:instrText>ADDIN CSL_CITATION {"citationItems":[{"id":"ITEM-1","itemData":{"DOI":"10.1161/STROKEAHA.116.014322","ISSN":"0039-2499","author":[{"dropping-particle":"","family":"Fernández-Cadenas","given":"Israel","non-dropping-particle":"","parse-names":false,"suffix":""},{"dropping-particle":"","family":"Mendióroz","given":"Maite","non-dropping-particle":"","parse-names":false,"suffix":""},{"dropping-particle":"","family":"Giralt","given":"Dolors","non-dropping-particle":"","parse-names":false,"suffix":""},{"dropping-particle":"","family":"Nafria","given":"Cristina","non-dropping-particle":"","parse-names":false,"suffix":""},{"dropping-particle":"","family":"Garcia","given":"Elena","non-dropping-particle":"","parse-names":false,"suffix":""},{"dropping-particle":"","family":"Carrera","given":"Caty","non-dropping-particle":"","parse-names":false,"suffix":""},{"dropping-particle":"","family":"Gallego-Fabrega","given":"Cristina","non-dropping-particle":"","parse-names":false,"suffix":""},{"dropping-particle":"","family":"Domingues-Montanari","given":"Sophie","non-dropping-particle":"","parse-names":false,"suffix":""},{"dropping-particle":"","family":"Delgado","given":"Pilar","non-dropping-particle":"","parse-names":false,"suffix":""},{"dropping-particle":"","family":"Ribó","given":"Marc","non-dropping-particle":"","parse-names":false,"suffix":""},{"dropping-particle":"","family":"Castellanos","given":"Mar","non-dropping-particle":"","parse-names":false,"suffix":""},{"dropping-particle":"","family":"Martínez","given":"Sergi","non-dropping-particle":"","parse-names":false,"suffix":""},{"dropping-particle":"","family":"Freijo","given":"Marimar","non-dropping-particle":"","parse-names":false,"suffix":""},{"dropping-particle":"","family":"Jiménez-Conde","given":"Jordi","non-dropping-particle":"","parse-names":false,"suffix":""},{"dropping-particle":"","family":"Rubiera","given":"Marta","non-dropping-particle":"","parse-names":false,"suffix":""},{"dropping-particle":"","family":"Alvarez-Sabín","given":"José","non-dropping-particle":"","parse-names":false,"suffix":""},{"dropping-particle":"","family":"Molina","given":"Carlos A.","non-dropping-particle":"","parse-names":false,"suffix":""},{"dropping-particle":"","family":"Font","given":"Maria Angels","non-dropping-particle":"","parse-names":false,"suffix":""},{"dropping-particle":"","family":"Grau Olivares","given":"Marta","non-dropping-particle":"","parse-names":false,"suffix":""},{"dropping-particle":"","family":"Palomeras","given":"Ernest","non-dropping-particle":"","parse-names":false,"suffix":""},{"dropping-particle":"","family":"Perez de la Ossa","given":"Natalia","non-dropping-particle":"","parse-names":false,"suffix":""},{"dropping-particle":"","family":"Martinez-Zabaleta","given":"Maite","non-dropping-particle":"","parse-names":false,"suffix":""},{"dropping-particle":"","family":"Masjuan","given":"Jaime","non-dropping-particle":"","parse-names":false,"suffix":""},{"dropping-particle":"","family":"Moniche","given":"Francisco","non-dropping-particle":"","parse-names":false,"suffix":""},{"dropping-particle":"","family":"Canovas","given":"David","non-dropping-particle":"","parse-names":false,"suffix":""},{"dropping-particle":"","family":"Piñana","given":"Carlos","non-dropping-particle":"","parse-names":false,"suffix":""},{"dropping-particle":"","family":"Purroy","given":"Francisco","non-dropping-particle":"","parse-names":false,"suffix":""},{"dropping-particle":"","family":"Cocho","given":"Dolores","non-dropping-particle":"","parse-names":false,"suffix":""},{"dropping-particle":"","family":"Navas","given":"Inma","non-dropping-particle":"","parse-names":false,"suffix":""},{"dropping-particle":"","family":"Tejero","given":"Carlos","non-dropping-particle":"","parse-names":false,"suffix":""},{"dropping-particle":"","family":"Aymerich","given":"Nuria","non-dropping-particle":"","parse-names":false,"suffix":""},{"dropping-particle":"","family":"Cullell","given":"Natalia","non-dropping-particle":"","parse-names":false,"suffix":""},{"dropping-particle":"","family":"Muiño","given":"Elena","non-dropping-particle":"","parse-names":false,"suffix":""},{"dropping-particle":"","family":"Serena","given":"Joaquín","non-dropping-particle":"","parse-names":false,"suffix":""},{"dropping-particle":"","family":"Rubio","given":"Francisco","non-dropping-particle":"","parse-names":false,"suffix":""},{"dropping-particle":"","family":"Davalos","given":"Antoni","non-dropping-particle":"","parse-names":false,"suffix":""},{"dropping-particle":"","family":"Roquer","given":"Jaume","non-dropping-particle":"","parse-names":false,"suffix":""},{"dropping-particle":"","family":"Arenillas","given":"Juan Francisco","non-dropping-particle":"","parse-names":false,"suffix":""},{"dropping-particle":"","family":"Martí-Fábregas","given":"Joan","non-dropping-particle":"","parse-names":false,"suffix":""},{"dropping-particle":"","family":"Keene","given":"Keith","non-dropping-particle":"","parse-names":false,"suffix":""},{"dropping-particle":"","family":"Chen","given":"Wei-Min","non-dropping-particle":"","parse-names":false,"suffix":""},{"dropping-particle":"","family":"Worrall","given":"Bradford","non-dropping-particle":"","parse-names":false,"suffix":""},{"dropping-particle":"","family":"Sale","given":"Michele","non-dropping-particle":"","parse-names":false,"suffix":""},{"dropping-particle":"","family":"Arboix","given":"Adrià","non-dropping-particle":"","parse-names":false,"suffix":""},{"dropping-particle":"","family":"Krupinski","given":"Jerzy","non-dropping-particle":"","parse-names":false,"suffix":""},{"dropping-particle":"","family":"Montaner","given":"Joan","non-dropping-particle":"","parse-names":false,"suffix":""}],"container-title":"Stroke","id":"ITEM-1","issue":"5","issued":{"date-parts":[["2017","5"]]},"page":"1147-1153","title":"GRECOS Project (Genotyping Recurrence Risk of Stroke)","type":"article-journal","volume":"48"},"uris":["http://www.mendeley.com/documents/?uuid=7365f6c4-c10a-4046-ab35-1a7c62c5b003"]}],"mendeley":{"formattedCitation":"(Fernández-Cadenas et al., 2017)","plainTextFormattedCitation":"(Fernández-Cadenas et al., 2017)","previouslyFormattedCitation":"&lt;sup&gt;9&lt;/sup&gt;"},"properties":{"noteIndex":0},"schema":"https://github.com/citation-style-language/schema/raw/master/csl-citation.json"}</w:instrText>
      </w:r>
      <w:r w:rsidRPr="00B257F0">
        <w:rPr>
          <w:rFonts w:asciiTheme="majorBidi" w:hAnsiTheme="majorBidi" w:cstheme="majorBidi"/>
          <w:sz w:val="20"/>
          <w:szCs w:val="20"/>
        </w:rPr>
        <w:fldChar w:fldCharType="separate"/>
      </w:r>
      <w:r w:rsidR="003426E1" w:rsidRPr="003426E1">
        <w:rPr>
          <w:rFonts w:asciiTheme="majorBidi" w:hAnsiTheme="majorBidi" w:cstheme="majorBidi"/>
          <w:noProof/>
          <w:sz w:val="20"/>
          <w:szCs w:val="20"/>
        </w:rPr>
        <w:t>(Fernández-Cadenas et al., 2017)</w:t>
      </w:r>
      <w:r w:rsidRPr="00B257F0">
        <w:rPr>
          <w:rFonts w:asciiTheme="majorBidi" w:hAnsiTheme="majorBidi" w:cstheme="majorBidi"/>
          <w:sz w:val="20"/>
          <w:szCs w:val="20"/>
        </w:rPr>
        <w:fldChar w:fldCharType="end"/>
      </w:r>
      <w:r w:rsidRPr="00B257F0">
        <w:rPr>
          <w:rFonts w:asciiTheme="majorBidi" w:hAnsiTheme="majorBidi" w:cstheme="majorBidi"/>
          <w:sz w:val="20"/>
          <w:szCs w:val="20"/>
        </w:rPr>
        <w:t xml:space="preserve"> project is a national study that aim find genetic factors associated with the recurrence after stroke.</w:t>
      </w:r>
      <w:r w:rsidRPr="00B257F0" w:rsidDel="00DF721C">
        <w:rPr>
          <w:rFonts w:asciiTheme="majorBidi" w:hAnsiTheme="majorBidi" w:cstheme="majorBidi"/>
          <w:sz w:val="20"/>
          <w:szCs w:val="20"/>
        </w:rPr>
        <w:t xml:space="preserve"> </w:t>
      </w:r>
      <w:r w:rsidRPr="00B257F0">
        <w:rPr>
          <w:rFonts w:asciiTheme="majorBidi" w:hAnsiTheme="majorBidi" w:cstheme="majorBidi"/>
          <w:sz w:val="20"/>
          <w:szCs w:val="20"/>
        </w:rPr>
        <w:t>Control participants were selected from relatives of patients (wife or husband, without any consanguinity among cases and controls) and healthy volunteers visiting the same hospital for routine testing. They were &gt;65 years of age and classified as free of neurovascular and cardiovascular history and familial history of stroke by direct interview before recruitment. All samples were genotyped with Human Core Exome chip (Illumina®).</w:t>
      </w:r>
    </w:p>
    <w:p w14:paraId="5F4B0754" w14:textId="1982B241" w:rsidR="008E4641" w:rsidRPr="00B257F0" w:rsidRDefault="008E4641" w:rsidP="008E4641">
      <w:pPr>
        <w:spacing w:line="276" w:lineRule="auto"/>
        <w:rPr>
          <w:rFonts w:asciiTheme="majorBidi" w:hAnsiTheme="majorBidi" w:cstheme="majorBidi"/>
          <w:sz w:val="20"/>
          <w:szCs w:val="20"/>
        </w:rPr>
      </w:pPr>
      <w:r w:rsidRPr="00B257F0">
        <w:rPr>
          <w:rFonts w:asciiTheme="majorBidi" w:hAnsiTheme="majorBidi" w:cstheme="majorBidi"/>
          <w:sz w:val="20"/>
          <w:szCs w:val="20"/>
        </w:rPr>
        <w:t xml:space="preserve">ISSYS cohort.—Investigating Silent Stroke in </w:t>
      </w:r>
      <w:proofErr w:type="spellStart"/>
      <w:r w:rsidRPr="00B257F0">
        <w:rPr>
          <w:rFonts w:asciiTheme="majorBidi" w:hAnsiTheme="majorBidi" w:cstheme="majorBidi"/>
          <w:sz w:val="20"/>
          <w:szCs w:val="20"/>
        </w:rPr>
        <w:t>hYpertensives</w:t>
      </w:r>
      <w:proofErr w:type="spellEnd"/>
      <w:r w:rsidRPr="00B257F0">
        <w:rPr>
          <w:rFonts w:asciiTheme="majorBidi" w:hAnsiTheme="majorBidi" w:cstheme="majorBidi"/>
          <w:sz w:val="20"/>
          <w:szCs w:val="20"/>
        </w:rPr>
        <w:t>: A magnetic resonance imaging Study (ISSYS)</w:t>
      </w:r>
      <w:r w:rsidRPr="00B257F0">
        <w:rPr>
          <w:rFonts w:asciiTheme="majorBidi" w:hAnsiTheme="majorBidi" w:cstheme="majorBidi"/>
          <w:sz w:val="20"/>
          <w:szCs w:val="20"/>
        </w:rPr>
        <w:fldChar w:fldCharType="begin" w:fldLock="1"/>
      </w:r>
      <w:r w:rsidR="003426E1">
        <w:rPr>
          <w:rFonts w:asciiTheme="majorBidi" w:hAnsiTheme="majorBidi" w:cstheme="majorBidi"/>
          <w:sz w:val="20"/>
          <w:szCs w:val="20"/>
        </w:rPr>
        <w:instrText>ADDIN CSL_CITATION {"citationItems":[{"id":"ITEM-1","itemData":{"DOI":"10.1016/j.jns.2012.06.015","ISSN":"0022510X","author":[{"dropping-particle":"","family":"Riba","given":"I.","non-dropping-particle":"","parse-names":false,"suffix":""},{"dropping-particle":"","family":"Jarca","given":"C.I.","non-dropping-particle":"","parse-names":false,"suffix":""},{"dropping-particle":"","family":"Mundet","given":"X.","non-dropping-particle":"","parse-names":false,"suffix":""},{"dropping-particle":"","family":"Tovar","given":"J.L.","non-dropping-particle":"","parse-names":false,"suffix":""},{"dropping-particle":"","family":"Orfila","given":"F.","non-dropping-particle":"","parse-names":false,"suffix":""},{"dropping-particle":"","family":"Nafría","given":"C.","non-dropping-particle":"","parse-names":false,"suffix":""},{"dropping-particle":"","family":"Raga","given":"A.","non-dropping-particle":"","parse-names":false,"suffix":""},{"dropping-particle":"","family":"Girona","given":"A.","non-dropping-particle":"","parse-names":false,"suffix":""},{"dropping-particle":"","family":"Fernández-Lara","given":"P.","non-dropping-particle":"","parse-names":false,"suffix":""},{"dropping-particle":"","family":"Castañé","given":"X.","non-dropping-particle":"","parse-names":false,"suffix":""},{"dropping-particle":"","family":"Álvarez Sabin","given":"J.","non-dropping-particle":"","parse-names":false,"suffix":""},{"dropping-particle":"","family":"Fernández Cortiñas","given":"I.","non-dropping-particle":"","parse-names":false,"suffix":""},{"dropping-particle":"","family":"Maisterra","given":"O.","non-dropping-particle":"","parse-names":false,"suffix":""},{"dropping-particle":"","family":"Montaner","given":"J.","non-dropping-particle":"","parse-names":false,"suffix":""},{"dropping-particle":"","family":"Delgado","given":"P.","non-dropping-particle":"","parse-names":false,"suffix":""}],"container-title":"Journal of the Neurological Sciences","id":"ITEM-1","issue":"1-2","issued":{"date-parts":[["2012","11"]]},"page":"79-81","title":"Cognitive assessment protocol design in the ISSYS (Investigating Silent Strokes in hYpertensives: A magnetic resonance imaging Study)","type":"article-journal","volume":"322"},"uris":["http://www.mendeley.com/documents/?uuid=bd3e4d1f-cfd8-4297-9558-e8f523dc2c0a"]}],"mendeley":{"formattedCitation":"(Riba et al., 2012)","plainTextFormattedCitation":"(Riba et al., 2012)","previouslyFormattedCitation":"&lt;sup&gt;10&lt;/sup&gt;"},"properties":{"noteIndex":0},"schema":"https://github.com/citation-style-language/schema/raw/master/csl-citation.json"}</w:instrText>
      </w:r>
      <w:r w:rsidRPr="00B257F0">
        <w:rPr>
          <w:rFonts w:asciiTheme="majorBidi" w:hAnsiTheme="majorBidi" w:cstheme="majorBidi"/>
          <w:sz w:val="20"/>
          <w:szCs w:val="20"/>
        </w:rPr>
        <w:fldChar w:fldCharType="separate"/>
      </w:r>
      <w:r w:rsidR="003426E1" w:rsidRPr="003426E1">
        <w:rPr>
          <w:rFonts w:asciiTheme="majorBidi" w:hAnsiTheme="majorBidi" w:cstheme="majorBidi"/>
          <w:noProof/>
          <w:sz w:val="20"/>
          <w:szCs w:val="20"/>
        </w:rPr>
        <w:t>(Riba et al., 2012)</w:t>
      </w:r>
      <w:r w:rsidRPr="00B257F0">
        <w:rPr>
          <w:rFonts w:asciiTheme="majorBidi" w:hAnsiTheme="majorBidi" w:cstheme="majorBidi"/>
          <w:sz w:val="20"/>
          <w:szCs w:val="20"/>
        </w:rPr>
        <w:fldChar w:fldCharType="end"/>
      </w:r>
      <w:r w:rsidRPr="00B257F0">
        <w:rPr>
          <w:rFonts w:asciiTheme="majorBidi" w:hAnsiTheme="majorBidi" w:cstheme="majorBidi"/>
          <w:sz w:val="20"/>
          <w:szCs w:val="20"/>
        </w:rPr>
        <w:t xml:space="preserve"> is an observational prospective study in hypertensive participants to determine the prevalence of silent or magnetic resonance imaging (MRI)–defined brain infarcts and cognitive impairment. This cohort comprises 1000 non-demented individuals, aged 50 to 70 years old, and diagnosed of essential hypertension at least one year before inclusion in the ISSYS study. Those individuals were genotyped with Human Core Exome chip (Illumina®).</w:t>
      </w:r>
    </w:p>
    <w:p w14:paraId="5C650073" w14:textId="0B40BC7D" w:rsidR="008E4641" w:rsidRPr="00B257F0" w:rsidRDefault="008E4641" w:rsidP="008E4641">
      <w:pPr>
        <w:spacing w:line="276" w:lineRule="auto"/>
        <w:rPr>
          <w:rFonts w:asciiTheme="majorBidi" w:hAnsiTheme="majorBidi" w:cstheme="majorBidi"/>
          <w:sz w:val="20"/>
          <w:szCs w:val="20"/>
        </w:rPr>
      </w:pPr>
      <w:r w:rsidRPr="00B257F0">
        <w:rPr>
          <w:rFonts w:asciiTheme="majorBidi" w:hAnsiTheme="majorBidi" w:cstheme="majorBidi"/>
          <w:sz w:val="20"/>
          <w:szCs w:val="20"/>
        </w:rPr>
        <w:t xml:space="preserve">GCAT </w:t>
      </w:r>
      <w:proofErr w:type="gramStart"/>
      <w:r w:rsidRPr="00B257F0">
        <w:rPr>
          <w:rFonts w:asciiTheme="majorBidi" w:hAnsiTheme="majorBidi" w:cstheme="majorBidi"/>
          <w:sz w:val="20"/>
          <w:szCs w:val="20"/>
        </w:rPr>
        <w:t>cohort.—</w:t>
      </w:r>
      <w:proofErr w:type="gramEnd"/>
      <w:r w:rsidRPr="00B257F0">
        <w:rPr>
          <w:rFonts w:asciiTheme="majorBidi" w:hAnsiTheme="majorBidi" w:cstheme="majorBidi"/>
          <w:sz w:val="20"/>
          <w:szCs w:val="20"/>
        </w:rPr>
        <w:t>GCAT health databank is a collection of health data and samples from participants of the “GCAT/Genomes for Life. Cohort Study of the Genomes of Catalonia Study”</w:t>
      </w:r>
      <w:r w:rsidRPr="00B257F0">
        <w:rPr>
          <w:rFonts w:asciiTheme="majorBidi" w:hAnsiTheme="majorBidi" w:cstheme="majorBidi"/>
          <w:sz w:val="20"/>
          <w:szCs w:val="20"/>
        </w:rPr>
        <w:fldChar w:fldCharType="begin" w:fldLock="1"/>
      </w:r>
      <w:r w:rsidR="003426E1">
        <w:rPr>
          <w:rFonts w:asciiTheme="majorBidi" w:hAnsiTheme="majorBidi" w:cstheme="majorBidi"/>
          <w:sz w:val="20"/>
          <w:szCs w:val="20"/>
        </w:rPr>
        <w:instrText>ADDIN CSL_CITATION {"citationItems":[{"id":"ITEM-1","itemData":{"DOI":"10.1136/bmjopen-2017-018324","ISSN":"2044-6055","author":[{"dropping-particle":"","family":"Obón-Santacana","given":"Mireia","non-dropping-particle":"","parse-names":false,"suffix":""},{"dropping-particle":"","family":"Vilardell","given":"Mireia","non-dropping-particle":"","parse-names":false,"suffix":""},{"dropping-particle":"","family":"Carreras","given":"Anna","non-dropping-particle":"","parse-names":false,"suffix":""},{"dropping-particle":"","family":"Duran","given":"Xavier","non-dropping-particle":"","parse-names":false,"suffix":""},{"dropping-particle":"","family":"Velasco","given":"Juan","non-dropping-particle":"","parse-names":false,"suffix":""},{"dropping-particle":"","family":"Galván-Femenía","given":"Iván","non-dropping-particle":"","parse-names":false,"suffix":""},{"dropping-particle":"","family":"Alonso","given":"Teresa","non-dropping-particle":"","parse-names":false,"suffix":""},{"dropping-particle":"","family":"Puig","given":"Lluís","non-dropping-particle":"","parse-names":false,"suffix":""},{"dropping-particle":"","family":"Sumoy","given":"Lauro","non-dropping-particle":"","parse-names":false,"suffix":""},{"dropping-particle":"","family":"Duell","given":"Eric J","non-dropping-particle":"","parse-names":false,"suffix":""},{"dropping-particle":"","family":"Perucho","given":"Manuel","non-dropping-particle":"","parse-names":false,"suffix":""},{"dropping-particle":"","family":"Moreno","given":"Victor","non-dropping-particle":"","parse-names":false,"suffix":""},{"dropping-particle":"","family":"Cid","given":"Rafael","non-dropping-particle":"de","parse-names":false,"suffix":""}],"container-title":"BMJ Open","id":"ITEM-1","issue":"3","issued":{"date-parts":[["2018","3"]]},"page":"e018324","title":"GCAT|Genomes for life: a prospective cohort study of the genomes of Catalonia","type":"article-journal","volume":"8"},"uris":["http://www.mendeley.com/documents/?uuid=adb1762d-2755-4fc8-84bc-081a967051b3"]}],"mendeley":{"formattedCitation":"(Obón-Santacana et al., 2018)","plainTextFormattedCitation":"(Obón-Santacana et al., 2018)","previouslyFormattedCitation":"&lt;sup&gt;8&lt;/sup&gt;"},"properties":{"noteIndex":0},"schema":"https://github.com/citation-style-language/schema/raw/master/csl-citation.json"}</w:instrText>
      </w:r>
      <w:r w:rsidRPr="00B257F0">
        <w:rPr>
          <w:rFonts w:asciiTheme="majorBidi" w:hAnsiTheme="majorBidi" w:cstheme="majorBidi"/>
          <w:sz w:val="20"/>
          <w:szCs w:val="20"/>
        </w:rPr>
        <w:fldChar w:fldCharType="separate"/>
      </w:r>
      <w:r w:rsidR="003426E1" w:rsidRPr="003426E1">
        <w:rPr>
          <w:rFonts w:asciiTheme="majorBidi" w:hAnsiTheme="majorBidi" w:cstheme="majorBidi"/>
          <w:noProof/>
          <w:sz w:val="20"/>
          <w:szCs w:val="20"/>
        </w:rPr>
        <w:t>(Obón-Santacana et al., 2018)</w:t>
      </w:r>
      <w:r w:rsidRPr="00B257F0">
        <w:rPr>
          <w:rFonts w:asciiTheme="majorBidi" w:hAnsiTheme="majorBidi" w:cstheme="majorBidi"/>
          <w:sz w:val="20"/>
          <w:szCs w:val="20"/>
        </w:rPr>
        <w:fldChar w:fldCharType="end"/>
      </w:r>
      <w:r w:rsidRPr="00B257F0">
        <w:rPr>
          <w:rFonts w:asciiTheme="majorBidi" w:hAnsiTheme="majorBidi" w:cstheme="majorBidi"/>
          <w:sz w:val="20"/>
          <w:szCs w:val="20"/>
        </w:rPr>
        <w:t xml:space="preserve">. The aim of the GCAT project was study the genetic and environmental factors that lead to the appearance of chronic diseases in the general population. The study is conducted in several waves of data gathering, namely GCAT1, the baseline Survey from 2014-2017 and GCAT2, the GCAT follow-up in the second year. Data collection is done with web-based self-questionnaires, direct interviews, clinical data, and analyses of DNA blood derived samples. Genome-wide genotypes have been generated using Illumina Infinium SNV-bead array technology using the Multi-Ethnic Global (MEGAEX, V.2) consortium array. We used only GCAT1 genotyped </w:t>
      </w:r>
      <w:proofErr w:type="gramStart"/>
      <w:r w:rsidRPr="00B257F0">
        <w:rPr>
          <w:rFonts w:asciiTheme="majorBidi" w:hAnsiTheme="majorBidi" w:cstheme="majorBidi"/>
          <w:sz w:val="20"/>
          <w:szCs w:val="20"/>
        </w:rPr>
        <w:t>patients</w:t>
      </w:r>
      <w:proofErr w:type="gramEnd"/>
      <w:r w:rsidRPr="00B257F0">
        <w:rPr>
          <w:rFonts w:asciiTheme="majorBidi" w:hAnsiTheme="majorBidi" w:cstheme="majorBidi"/>
          <w:sz w:val="20"/>
          <w:szCs w:val="20"/>
        </w:rPr>
        <w:t xml:space="preserve"> and we exclude individuals with heart infarct or heart diseases or with non-Caucasian ancestry.</w:t>
      </w:r>
    </w:p>
    <w:p w14:paraId="094936E4" w14:textId="0CC1B26E" w:rsidR="008E4641" w:rsidRPr="001227D8" w:rsidRDefault="008E4641" w:rsidP="008E4641">
      <w:pPr>
        <w:spacing w:line="276" w:lineRule="auto"/>
        <w:rPr>
          <w:rFonts w:asciiTheme="majorBidi" w:hAnsiTheme="majorBidi" w:cstheme="majorBidi"/>
          <w:sz w:val="20"/>
          <w:szCs w:val="20"/>
          <w:lang w:bidi="en-US"/>
        </w:rPr>
      </w:pPr>
      <w:proofErr w:type="spellStart"/>
      <w:r>
        <w:rPr>
          <w:rFonts w:asciiTheme="majorBidi" w:hAnsiTheme="majorBidi" w:cstheme="majorBidi"/>
          <w:sz w:val="20"/>
          <w:szCs w:val="20"/>
        </w:rPr>
        <w:lastRenderedPageBreak/>
        <w:t>genotPA</w:t>
      </w:r>
      <w:bookmarkStart w:id="12" w:name="_Toc73613164"/>
      <w:proofErr w:type="spellEnd"/>
      <w:r w:rsidRPr="00B257F0">
        <w:rPr>
          <w:rFonts w:asciiTheme="majorBidi" w:hAnsiTheme="majorBidi" w:cstheme="majorBidi"/>
          <w:sz w:val="20"/>
          <w:szCs w:val="20"/>
        </w:rPr>
        <w:t>—</w:t>
      </w:r>
      <w:r w:rsidRPr="001227D8">
        <w:rPr>
          <w:rFonts w:asciiTheme="majorBidi" w:hAnsiTheme="majorBidi" w:cstheme="majorBidi"/>
          <w:sz w:val="20"/>
          <w:szCs w:val="20"/>
          <w:lang w:bidi="en-US"/>
        </w:rPr>
        <w:t xml:space="preserve">Consecutive Caucasian patients with acute ischemic stroke who were admitted to the emergency room and received recombinant tissue-type plasminogen activator (r-tPA) within 4.5 hours of symptom onset were recruited. Patients were </w:t>
      </w:r>
      <w:proofErr w:type="spellStart"/>
      <w:r w:rsidRPr="001227D8">
        <w:rPr>
          <w:rFonts w:asciiTheme="majorBidi" w:hAnsiTheme="majorBidi" w:cstheme="majorBidi"/>
          <w:sz w:val="20"/>
          <w:szCs w:val="20"/>
          <w:lang w:bidi="en-US"/>
        </w:rPr>
        <w:t>enrrolled</w:t>
      </w:r>
      <w:proofErr w:type="spellEnd"/>
      <w:r w:rsidRPr="001227D8">
        <w:rPr>
          <w:rFonts w:asciiTheme="majorBidi" w:hAnsiTheme="majorBidi" w:cstheme="majorBidi"/>
          <w:sz w:val="20"/>
          <w:szCs w:val="20"/>
          <w:lang w:bidi="en-US"/>
        </w:rPr>
        <w:t xml:space="preserve"> at Spanish hospitals (</w:t>
      </w:r>
      <w:proofErr w:type="spellStart"/>
      <w:r w:rsidRPr="001227D8">
        <w:rPr>
          <w:rFonts w:asciiTheme="majorBidi" w:hAnsiTheme="majorBidi" w:cstheme="majorBidi"/>
          <w:sz w:val="20"/>
          <w:szCs w:val="20"/>
          <w:lang w:bidi="en-US"/>
        </w:rPr>
        <w:t>Vall</w:t>
      </w:r>
      <w:proofErr w:type="spellEnd"/>
      <w:r w:rsidRPr="001227D8">
        <w:rPr>
          <w:rFonts w:asciiTheme="majorBidi" w:hAnsiTheme="majorBidi" w:cstheme="majorBidi"/>
          <w:sz w:val="20"/>
          <w:szCs w:val="20"/>
          <w:lang w:bidi="en-US"/>
        </w:rPr>
        <w:t xml:space="preserve"> </w:t>
      </w:r>
      <w:proofErr w:type="spellStart"/>
      <w:r w:rsidRPr="001227D8">
        <w:rPr>
          <w:rFonts w:asciiTheme="majorBidi" w:hAnsiTheme="majorBidi" w:cstheme="majorBidi"/>
          <w:sz w:val="20"/>
          <w:szCs w:val="20"/>
          <w:lang w:bidi="en-US"/>
        </w:rPr>
        <w:t>d’Hebron</w:t>
      </w:r>
      <w:proofErr w:type="spellEnd"/>
      <w:r w:rsidRPr="001227D8">
        <w:rPr>
          <w:rFonts w:asciiTheme="majorBidi" w:hAnsiTheme="majorBidi" w:cstheme="majorBidi"/>
          <w:sz w:val="20"/>
          <w:szCs w:val="20"/>
          <w:lang w:bidi="en-US"/>
        </w:rPr>
        <w:t xml:space="preserve"> University Hospital, Hospital Clinic, Hospital </w:t>
      </w:r>
      <w:proofErr w:type="spellStart"/>
      <w:r w:rsidRPr="001227D8">
        <w:rPr>
          <w:rFonts w:asciiTheme="majorBidi" w:hAnsiTheme="majorBidi" w:cstheme="majorBidi"/>
          <w:sz w:val="20"/>
          <w:szCs w:val="20"/>
          <w:lang w:bidi="en-US"/>
        </w:rPr>
        <w:t>Universitari</w:t>
      </w:r>
      <w:proofErr w:type="spellEnd"/>
      <w:r w:rsidRPr="001227D8">
        <w:rPr>
          <w:rFonts w:asciiTheme="majorBidi" w:hAnsiTheme="majorBidi" w:cstheme="majorBidi"/>
          <w:sz w:val="20"/>
          <w:szCs w:val="20"/>
          <w:lang w:bidi="en-US"/>
        </w:rPr>
        <w:t xml:space="preserve"> de Girona Doctor </w:t>
      </w:r>
      <w:proofErr w:type="spellStart"/>
      <w:r w:rsidRPr="001227D8">
        <w:rPr>
          <w:rFonts w:asciiTheme="majorBidi" w:hAnsiTheme="majorBidi" w:cstheme="majorBidi"/>
          <w:sz w:val="20"/>
          <w:szCs w:val="20"/>
          <w:lang w:bidi="en-US"/>
        </w:rPr>
        <w:t>Josep</w:t>
      </w:r>
      <w:proofErr w:type="spellEnd"/>
      <w:r w:rsidRPr="001227D8">
        <w:rPr>
          <w:rFonts w:asciiTheme="majorBidi" w:hAnsiTheme="majorBidi" w:cstheme="majorBidi"/>
          <w:sz w:val="20"/>
          <w:szCs w:val="20"/>
          <w:lang w:bidi="en-US"/>
        </w:rPr>
        <w:t xml:space="preserve"> </w:t>
      </w:r>
      <w:proofErr w:type="spellStart"/>
      <w:r w:rsidRPr="001227D8">
        <w:rPr>
          <w:rFonts w:asciiTheme="majorBidi" w:hAnsiTheme="majorBidi" w:cstheme="majorBidi"/>
          <w:sz w:val="20"/>
          <w:szCs w:val="20"/>
          <w:lang w:bidi="en-US"/>
        </w:rPr>
        <w:t>Trueta</w:t>
      </w:r>
      <w:proofErr w:type="spellEnd"/>
      <w:r w:rsidRPr="001227D8">
        <w:rPr>
          <w:rFonts w:asciiTheme="majorBidi" w:hAnsiTheme="majorBidi" w:cstheme="majorBidi"/>
          <w:sz w:val="20"/>
          <w:szCs w:val="20"/>
          <w:lang w:bidi="en-US"/>
        </w:rPr>
        <w:t xml:space="preserve">, Hospital de la Santa Creu </w:t>
      </w:r>
      <w:proofErr w:type="spellStart"/>
      <w:r w:rsidRPr="001227D8">
        <w:rPr>
          <w:rFonts w:asciiTheme="majorBidi" w:hAnsiTheme="majorBidi" w:cstheme="majorBidi"/>
          <w:sz w:val="20"/>
          <w:szCs w:val="20"/>
          <w:lang w:bidi="en-US"/>
        </w:rPr>
        <w:t>i</w:t>
      </w:r>
      <w:proofErr w:type="spellEnd"/>
      <w:r w:rsidRPr="001227D8">
        <w:rPr>
          <w:rFonts w:asciiTheme="majorBidi" w:hAnsiTheme="majorBidi" w:cstheme="majorBidi"/>
          <w:sz w:val="20"/>
          <w:szCs w:val="20"/>
          <w:lang w:bidi="en-US"/>
        </w:rPr>
        <w:t xml:space="preserve"> Sant Pau, Hospital </w:t>
      </w:r>
      <w:proofErr w:type="spellStart"/>
      <w:r w:rsidRPr="001227D8">
        <w:rPr>
          <w:rFonts w:asciiTheme="majorBidi" w:hAnsiTheme="majorBidi" w:cstheme="majorBidi"/>
          <w:sz w:val="20"/>
          <w:szCs w:val="20"/>
          <w:lang w:bidi="en-US"/>
        </w:rPr>
        <w:t>Universitari</w:t>
      </w:r>
      <w:proofErr w:type="spellEnd"/>
      <w:r w:rsidRPr="001227D8">
        <w:rPr>
          <w:rFonts w:asciiTheme="majorBidi" w:hAnsiTheme="majorBidi" w:cstheme="majorBidi"/>
          <w:sz w:val="20"/>
          <w:szCs w:val="20"/>
          <w:lang w:bidi="en-US"/>
        </w:rPr>
        <w:t xml:space="preserve"> Germans </w:t>
      </w:r>
      <w:proofErr w:type="spellStart"/>
      <w:r w:rsidRPr="001227D8">
        <w:rPr>
          <w:rFonts w:asciiTheme="majorBidi" w:hAnsiTheme="majorBidi" w:cstheme="majorBidi"/>
          <w:sz w:val="20"/>
          <w:szCs w:val="20"/>
          <w:lang w:bidi="en-US"/>
        </w:rPr>
        <w:t>Trias</w:t>
      </w:r>
      <w:proofErr w:type="spellEnd"/>
      <w:r w:rsidRPr="001227D8">
        <w:rPr>
          <w:rFonts w:asciiTheme="majorBidi" w:hAnsiTheme="majorBidi" w:cstheme="majorBidi"/>
          <w:sz w:val="20"/>
          <w:szCs w:val="20"/>
          <w:lang w:bidi="en-US"/>
        </w:rPr>
        <w:t xml:space="preserve"> I Pujol, Hospital </w:t>
      </w:r>
      <w:proofErr w:type="spellStart"/>
      <w:r w:rsidRPr="001227D8">
        <w:rPr>
          <w:rFonts w:asciiTheme="majorBidi" w:hAnsiTheme="majorBidi" w:cstheme="majorBidi"/>
          <w:sz w:val="20"/>
          <w:szCs w:val="20"/>
          <w:lang w:bidi="en-US"/>
        </w:rPr>
        <w:t>Universitari</w:t>
      </w:r>
      <w:proofErr w:type="spellEnd"/>
      <w:r w:rsidRPr="001227D8">
        <w:rPr>
          <w:rFonts w:asciiTheme="majorBidi" w:hAnsiTheme="majorBidi" w:cstheme="majorBidi"/>
          <w:sz w:val="20"/>
          <w:szCs w:val="20"/>
          <w:lang w:bidi="en-US"/>
        </w:rPr>
        <w:t xml:space="preserve"> del Mar, Hospital de </w:t>
      </w:r>
      <w:proofErr w:type="spellStart"/>
      <w:r w:rsidRPr="001227D8">
        <w:rPr>
          <w:rFonts w:asciiTheme="majorBidi" w:hAnsiTheme="majorBidi" w:cstheme="majorBidi"/>
          <w:sz w:val="20"/>
          <w:szCs w:val="20"/>
          <w:lang w:bidi="en-US"/>
        </w:rPr>
        <w:t>Basurto</w:t>
      </w:r>
      <w:proofErr w:type="spellEnd"/>
      <w:r w:rsidRPr="001227D8">
        <w:rPr>
          <w:rFonts w:asciiTheme="majorBidi" w:hAnsiTheme="majorBidi" w:cstheme="majorBidi"/>
          <w:sz w:val="20"/>
          <w:szCs w:val="20"/>
          <w:lang w:bidi="en-US"/>
        </w:rPr>
        <w:t>) between 2002 to 2012. The study protocol was approved by the Ethics Committee of each center, all patients or relatives signed the informed consent.</w:t>
      </w:r>
      <w:bookmarkEnd w:id="12"/>
    </w:p>
    <w:p w14:paraId="13805616" w14:textId="2980AC40" w:rsidR="008E4641" w:rsidRDefault="008E4641" w:rsidP="008E4641">
      <w:pPr>
        <w:spacing w:line="276" w:lineRule="auto"/>
        <w:rPr>
          <w:rFonts w:asciiTheme="majorBidi" w:hAnsiTheme="majorBidi" w:cstheme="majorBidi"/>
          <w:sz w:val="20"/>
          <w:szCs w:val="20"/>
          <w:lang w:bidi="en-US"/>
        </w:rPr>
      </w:pPr>
      <w:bookmarkStart w:id="13" w:name="_Toc73613165"/>
      <w:r w:rsidRPr="001227D8">
        <w:rPr>
          <w:rFonts w:asciiTheme="majorBidi" w:hAnsiTheme="majorBidi" w:cstheme="majorBidi"/>
          <w:sz w:val="20"/>
          <w:szCs w:val="20"/>
          <w:lang w:bidi="en-US"/>
        </w:rPr>
        <w:t xml:space="preserve">Patients were identified by medical evaluation at emergency room arrival; stroke diagnosis was performed by trained neurologists and confirmed by neuroimaging. There were no exclusion criteria regarding age, </w:t>
      </w:r>
      <w:proofErr w:type="gramStart"/>
      <w:r w:rsidRPr="001227D8">
        <w:rPr>
          <w:rFonts w:asciiTheme="majorBidi" w:hAnsiTheme="majorBidi" w:cstheme="majorBidi"/>
          <w:sz w:val="20"/>
          <w:szCs w:val="20"/>
          <w:lang w:bidi="en-US"/>
        </w:rPr>
        <w:t>sex</w:t>
      </w:r>
      <w:proofErr w:type="gramEnd"/>
      <w:r w:rsidRPr="001227D8">
        <w:rPr>
          <w:rFonts w:asciiTheme="majorBidi" w:hAnsiTheme="majorBidi" w:cstheme="majorBidi"/>
          <w:sz w:val="20"/>
          <w:szCs w:val="20"/>
          <w:lang w:bidi="en-US"/>
        </w:rPr>
        <w:t xml:space="preserve"> or ethnicity. Follow-up CT scan at 24 hours after onset of symptoms or if neurological worsening occurred were performed and was classified according to European Cooperative Acute Stroke Study (ECASS) </w:t>
      </w:r>
      <w:r w:rsidRPr="001227D8">
        <w:rPr>
          <w:rFonts w:asciiTheme="majorBidi" w:hAnsiTheme="majorBidi" w:cstheme="majorBidi"/>
          <w:sz w:val="20"/>
          <w:szCs w:val="20"/>
          <w:lang w:bidi="en-US"/>
        </w:rPr>
        <w:fldChar w:fldCharType="begin" w:fldLock="1"/>
      </w:r>
      <w:r w:rsidR="003426E1">
        <w:rPr>
          <w:rFonts w:asciiTheme="majorBidi" w:hAnsiTheme="majorBidi" w:cstheme="majorBidi"/>
          <w:sz w:val="20"/>
          <w:szCs w:val="20"/>
          <w:lang w:bidi="en-US"/>
        </w:rPr>
        <w:instrText>ADDIN CSL_CITATION {"citationItems":[{"id":"ITEM-1","itemData":{"DOI":"10.1161/01.STR.28.5.957","ISSN":"00392499","PMID":"9158632","abstract":"Background and Purpose: Recent studies suggest that thrombolytic therapy may be of benefit to patients with acute ischemic stroke. However, the treatment also carries a significant risk of hemorrhagic transformation (HT). The purpose of this study was to select potential contributors to HT. Methods: We provide an explanatory analysis of the European Cooperative Acute Stroke Study (ECASS) data. ECASS was a multicenter, placebo-controlled, randomized trial of recombinant tissue plasminogen activator in ischemic stroke, within 6 hours of symptom onset, which enrolled 620 patients. HTs were classified into either hemorrhagic infarction or parenchymal hemorrhage according to their CT scan appearance. We used logistic regression analysis to select potential contributing factors to each type of HT. Results: The severity of initial clinical deficit (odds ratio [OR], 2.5; 95% confidence interval [CI], 1.6 to 4.0) and the presence of early ischemic changes on CT scan (OR, 3.5; 95% CI, 2.3 to 5.3) were associated with increased risk of hemorrhagic infarction. Increasing age (in decades; OR, 1.3; 95% CI, 1.0 to 1.7) and treatment with recombinant tissue plasminogen activator (OR, 3.6; 95% CI, 2.1 to 6.1) were related to the risk of parenchymal hemorrhage. Conclusions: Since all potential contributing factors are readily discernible upon hospital admission, they should be used to improve selection of patients into future studies.","author":[{"dropping-particle":"","family":"Larrue","given":"Vincent","non-dropping-particle":"","parse-names":false,"suffix":""},{"dropping-particle":"","family":"Kummer","given":"Rüdiger","non-dropping-particle":"Von","parse-names":false,"suffix":""},{"dropping-particle":"","family":"Zoppo","given":"Gregory","non-dropping-particle":"Del","parse-names":false,"suffix":""},{"dropping-particle":"","family":"Bluhmki","given":"Erich","non-dropping-particle":"","parse-names":false,"suffix":""}],"container-title":"Stroke","id":"ITEM-1","issue":"5","issued":{"date-parts":[["1997"]]},"page":"957-960","publisher":"Lippincott Williams and Wilkins","title":"Hemorrhagic transformation in acute ischemic stroke: Potential contributing factors in the European Cooperative Acute Stroke Study","type":"article-journal","volume":"28"},"uris":["http://www.mendeley.com/documents/?uuid=bd90304d-9577-3bee-8e90-b89e44d42a8d"]}],"mendeley":{"formattedCitation":"(Larrue et al., 1997)","plainTextFormattedCitation":"(Larrue et al., 1997)","previouslyFormattedCitation":"&lt;sup&gt;12&lt;/sup&gt;"},"properties":{"noteIndex":0},"schema":"https://github.com/citation-style-language/schema/raw/master/csl-citation.json"}</w:instrText>
      </w:r>
      <w:r w:rsidRPr="001227D8">
        <w:rPr>
          <w:rFonts w:asciiTheme="majorBidi" w:hAnsiTheme="majorBidi" w:cstheme="majorBidi"/>
          <w:sz w:val="20"/>
          <w:szCs w:val="20"/>
          <w:lang w:bidi="en-US"/>
        </w:rPr>
        <w:fldChar w:fldCharType="separate"/>
      </w:r>
      <w:r w:rsidR="003426E1" w:rsidRPr="003426E1">
        <w:rPr>
          <w:rFonts w:asciiTheme="majorBidi" w:hAnsiTheme="majorBidi" w:cstheme="majorBidi"/>
          <w:noProof/>
          <w:sz w:val="20"/>
          <w:szCs w:val="20"/>
          <w:lang w:bidi="en-US"/>
        </w:rPr>
        <w:t>(Larrue et al., 1997)</w:t>
      </w:r>
      <w:r w:rsidRPr="001227D8">
        <w:rPr>
          <w:rFonts w:asciiTheme="majorBidi" w:hAnsiTheme="majorBidi" w:cstheme="majorBidi"/>
          <w:sz w:val="20"/>
          <w:szCs w:val="20"/>
        </w:rPr>
        <w:fldChar w:fldCharType="end"/>
      </w:r>
      <w:r w:rsidRPr="001227D8">
        <w:rPr>
          <w:rFonts w:asciiTheme="majorBidi" w:hAnsiTheme="majorBidi" w:cstheme="majorBidi"/>
          <w:sz w:val="20"/>
          <w:szCs w:val="20"/>
          <w:lang w:bidi="en-US"/>
        </w:rPr>
        <w:t>.</w:t>
      </w:r>
      <w:bookmarkEnd w:id="13"/>
    </w:p>
    <w:p w14:paraId="09B38EA4" w14:textId="08FBAD9B" w:rsidR="008E4641" w:rsidRDefault="008E4641" w:rsidP="008E4641">
      <w:pPr>
        <w:spacing w:line="276" w:lineRule="auto"/>
        <w:rPr>
          <w:rFonts w:asciiTheme="majorBidi" w:hAnsiTheme="majorBidi" w:cstheme="majorBidi"/>
          <w:sz w:val="20"/>
          <w:szCs w:val="20"/>
        </w:rPr>
      </w:pPr>
      <w:r>
        <w:rPr>
          <w:rFonts w:asciiTheme="majorBidi" w:hAnsiTheme="majorBidi" w:cstheme="majorBidi"/>
          <w:sz w:val="20"/>
          <w:szCs w:val="20"/>
        </w:rPr>
        <w:t xml:space="preserve">SEDMAN cohort. - </w:t>
      </w:r>
      <w:r w:rsidRPr="003729EC">
        <w:rPr>
          <w:rFonts w:asciiTheme="majorBidi" w:hAnsiTheme="majorBidi" w:cstheme="majorBidi"/>
          <w:sz w:val="20"/>
          <w:szCs w:val="20"/>
        </w:rPr>
        <w:t xml:space="preserve">patients ≥ 18 years old, treated with </w:t>
      </w:r>
      <w:proofErr w:type="spellStart"/>
      <w:r w:rsidRPr="003729EC">
        <w:rPr>
          <w:rFonts w:asciiTheme="majorBidi" w:hAnsiTheme="majorBidi" w:cstheme="majorBidi"/>
          <w:sz w:val="20"/>
          <w:szCs w:val="20"/>
        </w:rPr>
        <w:t>acenocoumarol</w:t>
      </w:r>
      <w:proofErr w:type="spellEnd"/>
      <w:r w:rsidRPr="003729EC">
        <w:rPr>
          <w:rFonts w:asciiTheme="majorBidi" w:hAnsiTheme="majorBidi" w:cstheme="majorBidi"/>
          <w:sz w:val="20"/>
          <w:szCs w:val="20"/>
        </w:rPr>
        <w:t xml:space="preserve"> or dabigatran for stroke or systemic embolism prevention following the local recommendations. All patients had a stroke or transient ischemic attack (TIA) during the previous 14 days before the initiation of anticoagulation treatment and had a diagnostic of non-valvular atrial fibrillation. Only patients with mild to moderate stroke (less than 2/3 of the vascular territory) with initial Alberta Stroke Program Early CT Score (ASPECTS) in the first CT/MRI &gt; 6 and National Institute of Health Stroke Scale (NIHSS) &lt; 25 were included. All patients had a general condition which allowed the 12 months’ follow-up. </w:t>
      </w:r>
      <w:r>
        <w:rPr>
          <w:rFonts w:asciiTheme="majorBidi" w:hAnsiTheme="majorBidi" w:cstheme="majorBidi"/>
          <w:sz w:val="20"/>
          <w:szCs w:val="20"/>
        </w:rPr>
        <w:t>Only patients with stablished stroke were used in this analysis.</w:t>
      </w:r>
    </w:p>
    <w:p w14:paraId="4873CFA4" w14:textId="77777777" w:rsidR="008E4641" w:rsidRDefault="008E4641" w:rsidP="008E4641">
      <w:pPr>
        <w:spacing w:line="276" w:lineRule="auto"/>
        <w:rPr>
          <w:rFonts w:asciiTheme="majorBidi" w:hAnsiTheme="majorBidi" w:cstheme="majorBidi"/>
          <w:b/>
          <w:bCs/>
          <w:sz w:val="20"/>
          <w:szCs w:val="20"/>
        </w:rPr>
      </w:pPr>
      <w:r>
        <w:rPr>
          <w:rFonts w:asciiTheme="majorBidi" w:hAnsiTheme="majorBidi" w:cstheme="majorBidi"/>
          <w:b/>
          <w:bCs/>
          <w:sz w:val="20"/>
          <w:szCs w:val="20"/>
        </w:rPr>
        <w:t xml:space="preserve">Quality control and imputation </w:t>
      </w:r>
    </w:p>
    <w:p w14:paraId="1DF1AAE9" w14:textId="77777777" w:rsidR="008E4641" w:rsidRPr="00760D4C" w:rsidRDefault="008E4641" w:rsidP="008E4641">
      <w:pPr>
        <w:spacing w:line="276" w:lineRule="auto"/>
        <w:rPr>
          <w:rFonts w:asciiTheme="majorBidi" w:hAnsiTheme="majorBidi" w:cstheme="majorBidi"/>
          <w:sz w:val="20"/>
          <w:szCs w:val="20"/>
        </w:rPr>
      </w:pPr>
      <w:r w:rsidRPr="00760D4C">
        <w:rPr>
          <w:rFonts w:asciiTheme="majorBidi" w:hAnsiTheme="majorBidi" w:cstheme="majorBidi"/>
          <w:sz w:val="20"/>
          <w:szCs w:val="20"/>
        </w:rPr>
        <w:t xml:space="preserve">DNA samples were genotyped on commercial arrays from Illumina (San Diego, CA) (Online Table II). </w:t>
      </w:r>
      <w:r>
        <w:rPr>
          <w:rFonts w:asciiTheme="majorBidi" w:hAnsiTheme="majorBidi" w:cstheme="majorBidi"/>
          <w:sz w:val="20"/>
          <w:szCs w:val="20"/>
        </w:rPr>
        <w:t>Q</w:t>
      </w:r>
      <w:r w:rsidRPr="00760D4C">
        <w:rPr>
          <w:rFonts w:asciiTheme="majorBidi" w:hAnsiTheme="majorBidi" w:cstheme="majorBidi"/>
          <w:sz w:val="20"/>
          <w:szCs w:val="20"/>
        </w:rPr>
        <w:t>uality controls were performed using PLINK v1.9 and KING v2.1.3 software</w:t>
      </w:r>
      <w:r>
        <w:rPr>
          <w:rFonts w:asciiTheme="majorBidi" w:hAnsiTheme="majorBidi" w:cstheme="majorBidi"/>
          <w:sz w:val="20"/>
          <w:szCs w:val="20"/>
        </w:rPr>
        <w:t xml:space="preserve">. </w:t>
      </w:r>
      <w:r w:rsidRPr="00760D4C">
        <w:rPr>
          <w:rFonts w:asciiTheme="majorBidi" w:hAnsiTheme="majorBidi" w:cstheme="majorBidi"/>
          <w:sz w:val="20"/>
          <w:szCs w:val="20"/>
        </w:rPr>
        <w:t>For all datasets, samples were excluded if there was a mismatch between the genetic and reported sex, genotype call rate lower than 95%, excess or loss of heterozygosity, non-European detected as outliers of 1000 Genomes Project Phase 3 dataset (1000G), duplicate samples or relatedness at a PI-HAT&gt;0.20. SNPs were excluded if call rate lower than 95%, located in non-autosomes, non-biallelic, strand ambiguous, monomorphic or were deviated from Hardy-Weinberg equilibrium (p-value &lt;10</w:t>
      </w:r>
      <w:r w:rsidRPr="00760D4C">
        <w:rPr>
          <w:rFonts w:asciiTheme="majorBidi" w:hAnsiTheme="majorBidi" w:cstheme="majorBidi"/>
          <w:sz w:val="20"/>
          <w:szCs w:val="20"/>
          <w:vertAlign w:val="superscript"/>
        </w:rPr>
        <w:t>-6</w:t>
      </w:r>
      <w:r w:rsidRPr="00760D4C">
        <w:rPr>
          <w:rFonts w:asciiTheme="majorBidi" w:hAnsiTheme="majorBidi" w:cstheme="majorBidi"/>
          <w:sz w:val="20"/>
          <w:szCs w:val="20"/>
        </w:rPr>
        <w:t xml:space="preserve"> in controls, &lt;10</w:t>
      </w:r>
      <w:r w:rsidRPr="00760D4C">
        <w:rPr>
          <w:rFonts w:asciiTheme="majorBidi" w:hAnsiTheme="majorBidi" w:cstheme="majorBidi"/>
          <w:sz w:val="20"/>
          <w:szCs w:val="20"/>
          <w:vertAlign w:val="superscript"/>
        </w:rPr>
        <w:t>-10</w:t>
      </w:r>
      <w:r w:rsidRPr="00760D4C">
        <w:rPr>
          <w:rFonts w:asciiTheme="majorBidi" w:hAnsiTheme="majorBidi" w:cstheme="majorBidi"/>
          <w:sz w:val="20"/>
          <w:szCs w:val="20"/>
        </w:rPr>
        <w:t xml:space="preserve"> in IS). </w:t>
      </w:r>
    </w:p>
    <w:p w14:paraId="51516894" w14:textId="6AFC9441" w:rsidR="008E4641" w:rsidRPr="008E4641" w:rsidRDefault="008E4641" w:rsidP="008E4641">
      <w:pPr>
        <w:spacing w:line="276" w:lineRule="auto"/>
        <w:rPr>
          <w:rFonts w:asciiTheme="majorBidi" w:hAnsiTheme="majorBidi" w:cstheme="majorBidi"/>
          <w:sz w:val="20"/>
          <w:szCs w:val="20"/>
        </w:rPr>
      </w:pPr>
      <w:r w:rsidRPr="00760D4C">
        <w:rPr>
          <w:rFonts w:asciiTheme="majorBidi" w:hAnsiTheme="majorBidi" w:cstheme="majorBidi"/>
          <w:sz w:val="20"/>
          <w:szCs w:val="20"/>
        </w:rPr>
        <w:t>Imputation was performed in the Michigan Imputation Server Pipeline</w:t>
      </w:r>
      <w:r w:rsidRPr="00760D4C">
        <w:rPr>
          <w:rFonts w:asciiTheme="majorBidi" w:hAnsiTheme="majorBidi" w:cstheme="majorBidi"/>
          <w:sz w:val="20"/>
          <w:szCs w:val="20"/>
        </w:rPr>
        <w:fldChar w:fldCharType="begin" w:fldLock="1"/>
      </w:r>
      <w:r w:rsidR="003426E1">
        <w:rPr>
          <w:rFonts w:asciiTheme="majorBidi" w:hAnsiTheme="majorBidi" w:cstheme="majorBidi"/>
          <w:sz w:val="20"/>
          <w:szCs w:val="20"/>
        </w:rPr>
        <w:instrText>ADDIN CSL_CITATION {"citationItems":[{"id":"ITEM-1","itemData":{"DOI":"10.1038/ng.3656","ISSN":"1546-1718","PMID":"27571263","abstract":"Genotype imputation is a key component of genetic association studies, where it increases power, facilitates meta-analysis, and aids interpretation of signals. Genotype imputation is computationally demanding and, with current tools, typically requires access to a high-performance computing cluster and to a reference panel of sequenced genomes. Here we describe improvements to imputation machinery that reduce computational requirements by more than an order of magnitude with no loss of accuracy in comparison to standard imputation tools. We also describe a new web-based service for imputation that facilitates access to new reference panels and greatly improves user experience and productivity.","author":[{"dropping-particle":"","family":"Das","given":"Sayantan","non-dropping-particle":"","parse-names":false,"suffix":""},{"dropping-particle":"","family":"Forer","given":"Lukas","non-dropping-particle":"","parse-names":false,"suffix":""},{"dropping-particle":"","family":"Schönherr","given":"Sebastian","non-dropping-particle":"","parse-names":false,"suffix":""},{"dropping-particle":"","family":"Sidore","given":"Carlo","non-dropping-particle":"","parse-names":false,"suffix":""},{"dropping-particle":"","family":"Locke","given":"Adam E","non-dropping-particle":"","parse-names":false,"suffix":""},{"dropping-particle":"","family":"Kwong","given":"Alan","non-dropping-particle":"","parse-names":false,"suffix":""},{"dropping-particle":"","family":"Vrieze","given":"Scott I","non-dropping-particle":"","parse-names":false,"suffix":""},{"dropping-particle":"","family":"Chew","given":"Emily Y","non-dropping-particle":"","parse-names":false,"suffix":""},{"dropping-particle":"","family":"Levy","given":"Shawn","non-dropping-particle":"","parse-names":false,"suffix":""},{"dropping-particle":"","family":"McGue","given":"Matt","non-dropping-particle":"","parse-names":false,"suffix":""},{"dropping-particle":"","family":"Schlessinger","given":"David","non-dropping-particle":"","parse-names":false,"suffix":""},{"dropping-particle":"","family":"Stambolian","given":"Dwight","non-dropping-particle":"","parse-names":false,"suffix":""},{"dropping-particle":"","family":"Loh","given":"Po-Ru","non-dropping-particle":"","parse-names":false,"suffix":""},{"dropping-particle":"","family":"Iacono","given":"William G","non-dropping-particle":"","parse-names":false,"suffix":""},{"dropping-particle":"","family":"Swaroop","given":"Anand","non-dropping-particle":"","parse-names":false,"suffix":""},{"dropping-particle":"","family":"Scott","given":"Laura J","non-dropping-particle":"","parse-names":false,"suffix":""},{"dropping-particle":"","family":"Cucca","given":"Francesco","non-dropping-particle":"","parse-names":false,"suffix":""},{"dropping-particle":"","family":"Kronenberg","given":"Florian","non-dropping-particle":"","parse-names":false,"suffix":""},{"dropping-particle":"","family":"Boehnke","given":"Michael","non-dropping-particle":"","parse-names":false,"suffix":""},{"dropping-particle":"","family":"Abecasis","given":"Gonçalo R","non-dropping-particle":"","parse-names":false,"suffix":""},{"dropping-particle":"","family":"Fuchsberger","given":"Christian","non-dropping-particle":"","parse-names":false,"suffix":""}],"container-title":"Nature genetics","id":"ITEM-1","issue":"10","issued":{"date-parts":[["2016"]]},"page":"1284-1287","title":"Next-generation genotype imputation service and methods.","type":"article-journal","volume":"48"},"uris":["http://www.mendeley.com/documents/?uuid=a9309535-8bef-4e90-ad4d-6547b3704808","http://www.mendeley.com/documents/?uuid=1658e930-db08-449f-b7e8-74fe96006f86"]}],"mendeley":{"formattedCitation":"(Das et al., 2016)","plainTextFormattedCitation":"(Das et al., 2016)","previouslyFormattedCitation":"&lt;sup&gt;13&lt;/sup&gt;"},"properties":{"noteIndex":0},"schema":"https://github.com/citation-style-language/schema/raw/master/csl-citation.json"}</w:instrText>
      </w:r>
      <w:r w:rsidRPr="00760D4C">
        <w:rPr>
          <w:rFonts w:asciiTheme="majorBidi" w:hAnsiTheme="majorBidi" w:cstheme="majorBidi"/>
          <w:sz w:val="20"/>
          <w:szCs w:val="20"/>
        </w:rPr>
        <w:fldChar w:fldCharType="separate"/>
      </w:r>
      <w:r w:rsidR="003426E1" w:rsidRPr="003426E1">
        <w:rPr>
          <w:rFonts w:asciiTheme="majorBidi" w:hAnsiTheme="majorBidi" w:cstheme="majorBidi"/>
          <w:noProof/>
          <w:sz w:val="20"/>
          <w:szCs w:val="20"/>
        </w:rPr>
        <w:t>(Das et al., 2016)</w:t>
      </w:r>
      <w:r w:rsidRPr="00760D4C">
        <w:rPr>
          <w:rFonts w:asciiTheme="majorBidi" w:hAnsiTheme="majorBidi" w:cstheme="majorBidi"/>
          <w:sz w:val="20"/>
          <w:szCs w:val="20"/>
        </w:rPr>
        <w:fldChar w:fldCharType="end"/>
      </w:r>
      <w:r w:rsidRPr="00760D4C">
        <w:rPr>
          <w:rFonts w:asciiTheme="majorBidi" w:hAnsiTheme="majorBidi" w:cstheme="majorBidi"/>
          <w:sz w:val="20"/>
          <w:szCs w:val="20"/>
        </w:rPr>
        <w:t xml:space="preserve"> using Minimac4. </w:t>
      </w:r>
      <w:r w:rsidRPr="00760D4C">
        <w:rPr>
          <w:rFonts w:asciiTheme="majorBidi" w:hAnsiTheme="majorBidi" w:cstheme="majorBidi"/>
          <w:sz w:val="20"/>
          <w:szCs w:val="20"/>
          <w:lang w:bidi="en-US"/>
        </w:rPr>
        <w:t>HRC r1.1 2016 (GRCh37/hg19) was the reference panel used, with European population, and for phasing Eagle v2.4 was used.</w:t>
      </w:r>
      <w:r>
        <w:rPr>
          <w:rFonts w:asciiTheme="majorBidi" w:hAnsiTheme="majorBidi" w:cstheme="majorBidi"/>
          <w:sz w:val="20"/>
          <w:szCs w:val="20"/>
          <w:lang w:bidi="en-US"/>
        </w:rPr>
        <w:t xml:space="preserve"> </w:t>
      </w:r>
      <w:r w:rsidRPr="00760D4C">
        <w:rPr>
          <w:rFonts w:asciiTheme="majorBidi" w:hAnsiTheme="majorBidi" w:cstheme="majorBidi"/>
          <w:sz w:val="20"/>
          <w:szCs w:val="20"/>
        </w:rPr>
        <w:t>After imputation, we removed SNV with imputation score &lt;0.6 and MAF &lt;1%. SNVs that were not present in at least 95% of the individuals were removed.</w:t>
      </w:r>
    </w:p>
    <w:p w14:paraId="3B25D214" w14:textId="77777777" w:rsidR="008E4641" w:rsidRDefault="008E4641" w:rsidP="008E4641">
      <w:pPr>
        <w:spacing w:line="276" w:lineRule="auto"/>
        <w:rPr>
          <w:rFonts w:asciiTheme="majorBidi" w:hAnsiTheme="majorBidi" w:cstheme="majorBidi"/>
          <w:sz w:val="20"/>
          <w:szCs w:val="20"/>
        </w:rPr>
      </w:pPr>
      <w:r>
        <w:rPr>
          <w:rFonts w:asciiTheme="majorBidi" w:hAnsiTheme="majorBidi" w:cstheme="majorBidi"/>
          <w:b/>
          <w:bCs/>
          <w:sz w:val="20"/>
          <w:szCs w:val="20"/>
        </w:rPr>
        <w:t>Samples</w:t>
      </w:r>
    </w:p>
    <w:p w14:paraId="5382A2F7" w14:textId="2FD9A72E" w:rsidR="008E4641" w:rsidRPr="00922006" w:rsidRDefault="008E4641" w:rsidP="008E4641">
      <w:pPr>
        <w:spacing w:line="276" w:lineRule="auto"/>
        <w:rPr>
          <w:rFonts w:asciiTheme="majorBidi" w:hAnsiTheme="majorBidi" w:cstheme="majorBidi"/>
          <w:sz w:val="20"/>
          <w:szCs w:val="20"/>
        </w:rPr>
      </w:pPr>
      <w:r>
        <w:rPr>
          <w:rFonts w:asciiTheme="majorBidi" w:hAnsiTheme="majorBidi" w:cstheme="majorBidi"/>
          <w:sz w:val="20"/>
          <w:szCs w:val="20"/>
        </w:rPr>
        <w:t>DNA for all subjects</w:t>
      </w:r>
      <w:r w:rsidRPr="004C1444">
        <w:rPr>
          <w:rFonts w:asciiTheme="majorBidi" w:hAnsiTheme="majorBidi" w:cstheme="majorBidi"/>
          <w:sz w:val="20"/>
          <w:szCs w:val="20"/>
        </w:rPr>
        <w:t xml:space="preserve"> were obtain</w:t>
      </w:r>
      <w:r>
        <w:rPr>
          <w:rFonts w:asciiTheme="majorBidi" w:hAnsiTheme="majorBidi" w:cstheme="majorBidi"/>
          <w:sz w:val="20"/>
          <w:szCs w:val="20"/>
        </w:rPr>
        <w:t>ed</w:t>
      </w:r>
      <w:r w:rsidRPr="004C1444">
        <w:rPr>
          <w:rFonts w:asciiTheme="majorBidi" w:hAnsiTheme="majorBidi" w:cstheme="majorBidi"/>
          <w:sz w:val="20"/>
          <w:szCs w:val="20"/>
        </w:rPr>
        <w:t xml:space="preserve"> from </w:t>
      </w:r>
      <w:r>
        <w:rPr>
          <w:rFonts w:asciiTheme="majorBidi" w:hAnsiTheme="majorBidi" w:cstheme="majorBidi"/>
          <w:sz w:val="20"/>
          <w:szCs w:val="20"/>
        </w:rPr>
        <w:t xml:space="preserve">whole blood </w:t>
      </w:r>
      <w:r w:rsidRPr="00E84F3E">
        <w:rPr>
          <w:rFonts w:asciiTheme="majorBidi" w:hAnsiTheme="majorBidi" w:cstheme="majorBidi"/>
          <w:sz w:val="20"/>
          <w:szCs w:val="20"/>
        </w:rPr>
        <w:t>samples</w:t>
      </w:r>
      <w:r>
        <w:rPr>
          <w:rFonts w:asciiTheme="majorBidi" w:hAnsiTheme="majorBidi" w:cstheme="majorBidi"/>
          <w:sz w:val="20"/>
          <w:szCs w:val="20"/>
        </w:rPr>
        <w:t xml:space="preserve">. A total of 10,066 samples were genotyped in the study. After QCs 9,105 samples fulfilled the QC criteria and were not missing for the phenotypes and covariates analyzed: CES, AF, sex, and age. </w:t>
      </w:r>
    </w:p>
    <w:p w14:paraId="55B2B851" w14:textId="77777777" w:rsidR="008E4641" w:rsidRDefault="008E4641" w:rsidP="008E4641">
      <w:pPr>
        <w:spacing w:line="276" w:lineRule="auto"/>
        <w:rPr>
          <w:rFonts w:asciiTheme="majorBidi" w:hAnsiTheme="majorBidi" w:cstheme="majorBidi"/>
          <w:b/>
          <w:bCs/>
          <w:sz w:val="20"/>
          <w:szCs w:val="20"/>
        </w:rPr>
      </w:pPr>
      <w:r>
        <w:rPr>
          <w:rFonts w:asciiTheme="majorBidi" w:hAnsiTheme="majorBidi" w:cstheme="majorBidi"/>
          <w:b/>
          <w:bCs/>
          <w:sz w:val="20"/>
          <w:szCs w:val="20"/>
        </w:rPr>
        <w:t>Replication-stage</w:t>
      </w:r>
      <w:r w:rsidRPr="00727A06">
        <w:rPr>
          <w:rFonts w:asciiTheme="minorBidi" w:hAnsiTheme="minorBidi"/>
          <w:b/>
          <w:bCs/>
          <w:sz w:val="20"/>
          <w:szCs w:val="20"/>
        </w:rPr>
        <w:t xml:space="preserve"> </w:t>
      </w:r>
      <w:r w:rsidRPr="00727A06">
        <w:rPr>
          <w:rFonts w:asciiTheme="majorBidi" w:hAnsiTheme="majorBidi" w:cstheme="majorBidi"/>
          <w:b/>
          <w:bCs/>
          <w:sz w:val="20"/>
          <w:szCs w:val="20"/>
        </w:rPr>
        <w:t>in an independent European cohort</w:t>
      </w:r>
      <w:r w:rsidRPr="00727A06" w:rsidDel="00727A06">
        <w:rPr>
          <w:rFonts w:asciiTheme="majorBidi" w:hAnsiTheme="majorBidi" w:cstheme="majorBidi"/>
          <w:b/>
          <w:bCs/>
          <w:sz w:val="20"/>
          <w:szCs w:val="20"/>
        </w:rPr>
        <w:t xml:space="preserve"> </w:t>
      </w:r>
    </w:p>
    <w:p w14:paraId="4455EC6B" w14:textId="77777777" w:rsidR="008E4641" w:rsidRDefault="008E4641" w:rsidP="008E4641">
      <w:pPr>
        <w:spacing w:line="276" w:lineRule="auto"/>
        <w:rPr>
          <w:rFonts w:asciiTheme="majorBidi" w:hAnsiTheme="majorBidi" w:cstheme="majorBidi"/>
          <w:i/>
          <w:iCs/>
          <w:sz w:val="20"/>
          <w:szCs w:val="20"/>
        </w:rPr>
      </w:pPr>
      <w:r>
        <w:rPr>
          <w:rFonts w:asciiTheme="majorBidi" w:hAnsiTheme="majorBidi" w:cstheme="majorBidi"/>
          <w:i/>
          <w:iCs/>
          <w:sz w:val="20"/>
          <w:szCs w:val="20"/>
        </w:rPr>
        <w:t>Post-analysis quality controls</w:t>
      </w:r>
    </w:p>
    <w:p w14:paraId="6866037A" w14:textId="02D679A6" w:rsidR="008E4641" w:rsidRDefault="008E4641" w:rsidP="008E4641">
      <w:pPr>
        <w:spacing w:line="276" w:lineRule="auto"/>
        <w:rPr>
          <w:rFonts w:asciiTheme="majorBidi" w:hAnsiTheme="majorBidi" w:cstheme="majorBidi"/>
          <w:sz w:val="20"/>
          <w:szCs w:val="20"/>
        </w:rPr>
      </w:pPr>
      <w:r>
        <w:rPr>
          <w:rFonts w:asciiTheme="majorBidi" w:hAnsiTheme="majorBidi" w:cstheme="majorBidi"/>
          <w:sz w:val="20"/>
          <w:szCs w:val="20"/>
        </w:rPr>
        <w:t xml:space="preserve">After analysis using </w:t>
      </w:r>
      <w:proofErr w:type="spellStart"/>
      <w:r>
        <w:rPr>
          <w:rFonts w:asciiTheme="majorBidi" w:hAnsiTheme="majorBidi" w:cstheme="majorBidi"/>
          <w:sz w:val="20"/>
          <w:szCs w:val="20"/>
        </w:rPr>
        <w:t>fastGWA</w:t>
      </w:r>
      <w:proofErr w:type="spellEnd"/>
      <w:r>
        <w:rPr>
          <w:rFonts w:asciiTheme="majorBidi" w:hAnsiTheme="majorBidi" w:cstheme="majorBidi"/>
          <w:sz w:val="20"/>
          <w:szCs w:val="20"/>
        </w:rPr>
        <w:t xml:space="preserve"> we removed variants with minor allele frequency &lt; 1%, minor allele </w:t>
      </w:r>
      <w:proofErr w:type="gramStart"/>
      <w:r>
        <w:rPr>
          <w:rFonts w:asciiTheme="majorBidi" w:hAnsiTheme="majorBidi" w:cstheme="majorBidi"/>
          <w:sz w:val="20"/>
          <w:szCs w:val="20"/>
        </w:rPr>
        <w:t>count</w:t>
      </w:r>
      <w:proofErr w:type="gramEnd"/>
      <w:r>
        <w:rPr>
          <w:rFonts w:asciiTheme="majorBidi" w:hAnsiTheme="majorBidi" w:cstheme="majorBidi"/>
          <w:sz w:val="20"/>
          <w:szCs w:val="20"/>
        </w:rPr>
        <w:t xml:space="preserve"> in cases or controls &lt; 6 and variants that deviated from Hardy Weinberg equilibrium p-value; &lt; 1x10</w:t>
      </w:r>
      <w:r>
        <w:rPr>
          <w:rFonts w:asciiTheme="majorBidi" w:hAnsiTheme="majorBidi" w:cstheme="majorBidi"/>
          <w:sz w:val="20"/>
          <w:szCs w:val="20"/>
          <w:vertAlign w:val="superscript"/>
        </w:rPr>
        <w:t>-6</w:t>
      </w:r>
      <w:r>
        <w:rPr>
          <w:rFonts w:asciiTheme="majorBidi" w:hAnsiTheme="majorBidi" w:cstheme="majorBidi"/>
          <w:sz w:val="20"/>
          <w:szCs w:val="20"/>
        </w:rPr>
        <w:t>. Additionally, genomic inflation was estimated as lambda.</w:t>
      </w:r>
    </w:p>
    <w:p w14:paraId="79057A77" w14:textId="62382B08" w:rsidR="00D55D73" w:rsidRDefault="00D55D73" w:rsidP="008E4641">
      <w:pPr>
        <w:spacing w:line="276" w:lineRule="auto"/>
        <w:rPr>
          <w:rFonts w:asciiTheme="majorBidi" w:hAnsiTheme="majorBidi" w:cstheme="majorBidi"/>
          <w:sz w:val="20"/>
          <w:szCs w:val="20"/>
        </w:rPr>
      </w:pPr>
    </w:p>
    <w:p w14:paraId="1FD7AFCB" w14:textId="77777777" w:rsidR="00D55D73" w:rsidRDefault="00D55D73" w:rsidP="008E4641">
      <w:pPr>
        <w:spacing w:line="276" w:lineRule="auto"/>
        <w:rPr>
          <w:rFonts w:asciiTheme="majorBidi" w:hAnsiTheme="majorBidi" w:cstheme="majorBidi"/>
          <w:sz w:val="20"/>
          <w:szCs w:val="20"/>
        </w:rPr>
      </w:pPr>
    </w:p>
    <w:p w14:paraId="113CFB5F" w14:textId="291CFB81" w:rsidR="00D55D73" w:rsidRDefault="00654E8F" w:rsidP="002A740F">
      <w:pPr>
        <w:pStyle w:val="Ttulo1"/>
      </w:pPr>
      <w:r w:rsidRPr="00994A3D">
        <w:t>Supplementary Figures and Tables</w:t>
      </w:r>
    </w:p>
    <w:p w14:paraId="4835B755" w14:textId="77777777" w:rsidR="002A740F" w:rsidRPr="008E4641" w:rsidRDefault="002A740F" w:rsidP="002A740F">
      <w:pPr>
        <w:keepNext/>
        <w:rPr>
          <w:rFonts w:cs="Times New Roman"/>
          <w:b/>
          <w:bCs/>
          <w:szCs w:val="24"/>
        </w:rPr>
      </w:pPr>
      <w:r w:rsidRPr="008E4641">
        <w:rPr>
          <w:rFonts w:cs="Times New Roman"/>
          <w:b/>
          <w:bCs/>
          <w:noProof/>
          <w:szCs w:val="24"/>
        </w:rPr>
        <w:lastRenderedPageBreak/>
        <w:drawing>
          <wp:inline distT="0" distB="0" distL="0" distR="0" wp14:anchorId="25D3F0ED" wp14:editId="4ECE8ACA">
            <wp:extent cx="5400040" cy="7199630"/>
            <wp:effectExtent l="0" t="0" r="0" b="1270"/>
            <wp:docPr id="5" name="Imagen 5"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abl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7199630"/>
                    </a:xfrm>
                    <a:prstGeom prst="rect">
                      <a:avLst/>
                    </a:prstGeom>
                  </pic:spPr>
                </pic:pic>
              </a:graphicData>
            </a:graphic>
          </wp:inline>
        </w:drawing>
      </w:r>
    </w:p>
    <w:p w14:paraId="4FC72499" w14:textId="388DE226" w:rsidR="002A740F" w:rsidRPr="008E4641" w:rsidRDefault="002A740F" w:rsidP="002A740F">
      <w:pPr>
        <w:keepNext/>
        <w:rPr>
          <w:rFonts w:cs="Times New Roman"/>
          <w:b/>
          <w:szCs w:val="24"/>
        </w:rPr>
      </w:pPr>
      <w:r w:rsidRPr="0001436A">
        <w:rPr>
          <w:rFonts w:cs="Times New Roman"/>
          <w:b/>
          <w:szCs w:val="24"/>
        </w:rPr>
        <w:t xml:space="preserve">Supplementary </w:t>
      </w:r>
      <w:r w:rsidRPr="008E4641">
        <w:rPr>
          <w:rFonts w:cs="Times New Roman"/>
          <w:b/>
          <w:szCs w:val="24"/>
        </w:rPr>
        <w:t xml:space="preserve">Figure </w:t>
      </w:r>
      <w:r w:rsidR="000020EB">
        <w:rPr>
          <w:rFonts w:cs="Times New Roman"/>
          <w:b/>
          <w:szCs w:val="24"/>
        </w:rPr>
        <w:t>1</w:t>
      </w:r>
      <w:r w:rsidRPr="008E4641">
        <w:rPr>
          <w:rFonts w:cs="Times New Roman"/>
          <w:b/>
          <w:szCs w:val="24"/>
        </w:rPr>
        <w:t xml:space="preserve">. </w:t>
      </w:r>
      <w:r w:rsidRPr="008E4641">
        <w:rPr>
          <w:rFonts w:cs="Times New Roman"/>
          <w:b/>
          <w:bCs/>
          <w:szCs w:val="24"/>
        </w:rPr>
        <w:t>GO Biological processes enriched in CES prioritized gene set</w:t>
      </w:r>
      <w:r w:rsidRPr="008E4641">
        <w:rPr>
          <w:rFonts w:cs="Times New Roman"/>
          <w:b/>
          <w:szCs w:val="24"/>
        </w:rPr>
        <w:t xml:space="preserve">. </w:t>
      </w:r>
    </w:p>
    <w:p w14:paraId="57E9589B" w14:textId="2DF91CDC" w:rsidR="002A740F" w:rsidRDefault="002A740F" w:rsidP="002A740F"/>
    <w:p w14:paraId="48D4E2A3" w14:textId="2A076254" w:rsidR="002A740F" w:rsidRDefault="002A740F" w:rsidP="002A740F"/>
    <w:p w14:paraId="7570FA65" w14:textId="77777777" w:rsidR="008E4641" w:rsidRPr="008E4641" w:rsidRDefault="008E4641" w:rsidP="008E4641">
      <w:pPr>
        <w:keepNext/>
        <w:rPr>
          <w:rFonts w:cs="Times New Roman"/>
          <w:b/>
          <w:szCs w:val="24"/>
        </w:rPr>
      </w:pPr>
    </w:p>
    <w:p w14:paraId="0A42F832" w14:textId="77777777" w:rsidR="008E4641" w:rsidRPr="008E4641" w:rsidRDefault="008E4641" w:rsidP="008E4641">
      <w:pPr>
        <w:keepNext/>
        <w:rPr>
          <w:rFonts w:cs="Times New Roman"/>
          <w:b/>
          <w:szCs w:val="24"/>
        </w:rPr>
      </w:pPr>
      <w:r w:rsidRPr="008E4641">
        <w:rPr>
          <w:rFonts w:cs="Times New Roman"/>
          <w:b/>
          <w:noProof/>
          <w:szCs w:val="24"/>
        </w:rPr>
        <w:drawing>
          <wp:inline distT="0" distB="0" distL="0" distR="0" wp14:anchorId="1CFF633E" wp14:editId="0C8F0C88">
            <wp:extent cx="5400040" cy="4201160"/>
            <wp:effectExtent l="0" t="0" r="0" b="8890"/>
            <wp:docPr id="8" name="Imagen 8"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4201160"/>
                    </a:xfrm>
                    <a:prstGeom prst="rect">
                      <a:avLst/>
                    </a:prstGeom>
                  </pic:spPr>
                </pic:pic>
              </a:graphicData>
            </a:graphic>
          </wp:inline>
        </w:drawing>
      </w:r>
    </w:p>
    <w:p w14:paraId="4638413F" w14:textId="17A3161D" w:rsidR="008E4641" w:rsidRPr="008E4641" w:rsidRDefault="008E4641" w:rsidP="008E4641">
      <w:pPr>
        <w:keepNext/>
        <w:rPr>
          <w:rFonts w:cs="Times New Roman"/>
          <w:b/>
          <w:szCs w:val="24"/>
        </w:rPr>
      </w:pPr>
      <w:r w:rsidRPr="0001436A">
        <w:rPr>
          <w:rFonts w:cs="Times New Roman"/>
          <w:b/>
          <w:szCs w:val="24"/>
        </w:rPr>
        <w:t xml:space="preserve">Supplementary </w:t>
      </w:r>
      <w:r w:rsidRPr="008E4641">
        <w:rPr>
          <w:rFonts w:cs="Times New Roman"/>
          <w:b/>
          <w:szCs w:val="24"/>
        </w:rPr>
        <w:t xml:space="preserve">Figure </w:t>
      </w:r>
      <w:r w:rsidR="000020EB">
        <w:rPr>
          <w:rFonts w:cs="Times New Roman"/>
          <w:b/>
          <w:szCs w:val="24"/>
        </w:rPr>
        <w:t>2</w:t>
      </w:r>
      <w:r w:rsidRPr="008E4641">
        <w:rPr>
          <w:rFonts w:cs="Times New Roman"/>
          <w:b/>
          <w:szCs w:val="24"/>
        </w:rPr>
        <w:t xml:space="preserve">. </w:t>
      </w:r>
      <w:r w:rsidRPr="008E4641">
        <w:rPr>
          <w:rFonts w:cs="Times New Roman"/>
          <w:b/>
          <w:bCs/>
          <w:szCs w:val="24"/>
        </w:rPr>
        <w:t>GO Biological processes enriched exclusively in analysis of AF associated genes independently of CES risk</w:t>
      </w:r>
      <w:r w:rsidRPr="008E4641">
        <w:rPr>
          <w:rFonts w:cs="Times New Roman"/>
          <w:b/>
          <w:szCs w:val="24"/>
        </w:rPr>
        <w:t>.</w:t>
      </w:r>
    </w:p>
    <w:p w14:paraId="772BF8BB" w14:textId="77777777" w:rsidR="008E4641" w:rsidRPr="008E4641" w:rsidRDefault="008E4641" w:rsidP="008E4641">
      <w:pPr>
        <w:keepNext/>
        <w:rPr>
          <w:rFonts w:cs="Times New Roman"/>
          <w:b/>
          <w:szCs w:val="24"/>
        </w:rPr>
      </w:pPr>
    </w:p>
    <w:p w14:paraId="6CF21EE2" w14:textId="77777777" w:rsidR="008E4641" w:rsidRPr="008E4641" w:rsidRDefault="008E4641" w:rsidP="008E4641">
      <w:pPr>
        <w:keepNext/>
        <w:rPr>
          <w:rFonts w:cs="Times New Roman"/>
          <w:b/>
          <w:szCs w:val="24"/>
        </w:rPr>
      </w:pPr>
    </w:p>
    <w:p w14:paraId="1F97B52C" w14:textId="77777777" w:rsidR="008E4641" w:rsidRPr="008E4641" w:rsidRDefault="008E4641" w:rsidP="008E4641">
      <w:pPr>
        <w:keepNext/>
        <w:rPr>
          <w:rFonts w:cs="Times New Roman"/>
          <w:b/>
          <w:szCs w:val="24"/>
        </w:rPr>
      </w:pPr>
    </w:p>
    <w:p w14:paraId="1A0E1036" w14:textId="12FBCC18" w:rsidR="008E4641" w:rsidRDefault="008E4641" w:rsidP="008E4641">
      <w:pPr>
        <w:keepNext/>
        <w:rPr>
          <w:rFonts w:cs="Times New Roman"/>
          <w:b/>
          <w:szCs w:val="24"/>
        </w:rPr>
      </w:pPr>
    </w:p>
    <w:p w14:paraId="60D1669F" w14:textId="5C5ABA8D" w:rsidR="00D55D73" w:rsidRDefault="00D55D73" w:rsidP="008E4641">
      <w:pPr>
        <w:keepNext/>
        <w:rPr>
          <w:rFonts w:cs="Times New Roman"/>
          <w:b/>
          <w:szCs w:val="24"/>
        </w:rPr>
      </w:pPr>
    </w:p>
    <w:p w14:paraId="1FB3966E" w14:textId="479EC052" w:rsidR="00D55D73" w:rsidRDefault="00D55D73" w:rsidP="008E4641">
      <w:pPr>
        <w:keepNext/>
        <w:rPr>
          <w:rFonts w:cs="Times New Roman"/>
          <w:b/>
          <w:szCs w:val="24"/>
        </w:rPr>
      </w:pPr>
    </w:p>
    <w:p w14:paraId="3044D2C5" w14:textId="5B56A642" w:rsidR="00D55D73" w:rsidRDefault="00D55D73" w:rsidP="008E4641">
      <w:pPr>
        <w:keepNext/>
        <w:rPr>
          <w:rFonts w:cs="Times New Roman"/>
          <w:b/>
          <w:szCs w:val="24"/>
        </w:rPr>
      </w:pPr>
    </w:p>
    <w:p w14:paraId="263511E3" w14:textId="5CFBF81F" w:rsidR="00D55D73" w:rsidRDefault="00D55D73" w:rsidP="008E4641">
      <w:pPr>
        <w:keepNext/>
        <w:rPr>
          <w:rFonts w:cs="Times New Roman"/>
          <w:b/>
          <w:szCs w:val="24"/>
        </w:rPr>
      </w:pPr>
    </w:p>
    <w:p w14:paraId="496AA21D" w14:textId="77777777" w:rsidR="00D55D73" w:rsidRPr="008E4641" w:rsidRDefault="00D55D73" w:rsidP="008E4641">
      <w:pPr>
        <w:keepNext/>
        <w:rPr>
          <w:rFonts w:cs="Times New Roman"/>
          <w:b/>
          <w:szCs w:val="24"/>
        </w:rPr>
      </w:pPr>
    </w:p>
    <w:p w14:paraId="28909613" w14:textId="02781BD8" w:rsidR="008E4641" w:rsidRDefault="008E4641" w:rsidP="008E4641">
      <w:pPr>
        <w:keepNext/>
        <w:rPr>
          <w:rFonts w:cs="Times New Roman"/>
          <w:b/>
          <w:szCs w:val="24"/>
        </w:rPr>
      </w:pPr>
    </w:p>
    <w:p w14:paraId="54D0D854" w14:textId="6B07E475" w:rsidR="00913502" w:rsidRDefault="00913502" w:rsidP="008E4641">
      <w:pPr>
        <w:keepNext/>
        <w:rPr>
          <w:rFonts w:cs="Times New Roman"/>
          <w:b/>
          <w:szCs w:val="24"/>
        </w:rPr>
      </w:pPr>
    </w:p>
    <w:p w14:paraId="53B20364" w14:textId="77777777" w:rsidR="00913502" w:rsidRDefault="00913502" w:rsidP="00913502">
      <w:pPr>
        <w:rPr>
          <w:rFonts w:asciiTheme="majorBidi" w:hAnsiTheme="majorBidi" w:cstheme="majorBidi"/>
          <w:szCs w:val="24"/>
        </w:rPr>
      </w:pPr>
      <w:r>
        <w:rPr>
          <w:rFonts w:asciiTheme="majorBidi" w:hAnsiTheme="majorBidi" w:cstheme="majorBidi"/>
          <w:noProof/>
          <w:szCs w:val="24"/>
        </w:rPr>
        <w:drawing>
          <wp:inline distT="0" distB="0" distL="0" distR="0" wp14:anchorId="75E0FCF0" wp14:editId="53547142">
            <wp:extent cx="5400040" cy="2730500"/>
            <wp:effectExtent l="0" t="0" r="0" b="0"/>
            <wp:docPr id="3" name="Imagen 3" descr="Gráfico, 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Diagrama&#10;&#10;Descripción generada automáticamente con confianza medi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730500"/>
                    </a:xfrm>
                    <a:prstGeom prst="rect">
                      <a:avLst/>
                    </a:prstGeom>
                  </pic:spPr>
                </pic:pic>
              </a:graphicData>
            </a:graphic>
          </wp:inline>
        </w:drawing>
      </w:r>
    </w:p>
    <w:p w14:paraId="020DC9A1" w14:textId="2ECBFC8A" w:rsidR="00913502" w:rsidRDefault="00913502" w:rsidP="00913502">
      <w:pPr>
        <w:rPr>
          <w:rFonts w:asciiTheme="majorBidi" w:hAnsiTheme="majorBidi" w:cstheme="majorBidi"/>
          <w:b/>
          <w:bCs/>
          <w:szCs w:val="24"/>
        </w:rPr>
      </w:pPr>
      <w:r w:rsidRPr="00913502">
        <w:rPr>
          <w:rFonts w:asciiTheme="majorBidi" w:hAnsiTheme="majorBidi" w:cstheme="majorBidi"/>
          <w:b/>
          <w:bCs/>
          <w:szCs w:val="24"/>
        </w:rPr>
        <w:t xml:space="preserve">Supplementary Figure 3. Polygenic risk score (PRS) performance for the </w:t>
      </w:r>
      <w:bookmarkStart w:id="14" w:name="_Hlk105147606"/>
      <w:r w:rsidRPr="00913502">
        <w:rPr>
          <w:rFonts w:asciiTheme="majorBidi" w:hAnsiTheme="majorBidi" w:cstheme="majorBidi"/>
          <w:b/>
          <w:bCs/>
          <w:szCs w:val="24"/>
        </w:rPr>
        <w:t xml:space="preserve">individual </w:t>
      </w:r>
      <w:bookmarkEnd w:id="14"/>
      <w:r w:rsidRPr="00913502">
        <w:rPr>
          <w:rFonts w:asciiTheme="majorBidi" w:hAnsiTheme="majorBidi" w:cstheme="majorBidi"/>
          <w:b/>
          <w:bCs/>
          <w:szCs w:val="24"/>
        </w:rPr>
        <w:t>predictors. Panel A shows ROC curves and panel B Precision-Recall curves for the PRS performance in the independent test set. AUC: area under the ROC curve; AUPRC: area under the precision recall curve; HT: hypertension.</w:t>
      </w:r>
    </w:p>
    <w:p w14:paraId="62A3F39A" w14:textId="46C540FF" w:rsidR="00913502" w:rsidRDefault="00913502" w:rsidP="00913502">
      <w:pPr>
        <w:rPr>
          <w:rFonts w:asciiTheme="majorBidi" w:hAnsiTheme="majorBidi" w:cstheme="majorBidi"/>
          <w:b/>
          <w:bCs/>
          <w:szCs w:val="24"/>
        </w:rPr>
      </w:pPr>
    </w:p>
    <w:p w14:paraId="185B5F9D" w14:textId="046FCFDF" w:rsidR="00913502" w:rsidRDefault="00913502" w:rsidP="00913502">
      <w:pPr>
        <w:rPr>
          <w:rFonts w:asciiTheme="majorBidi" w:hAnsiTheme="majorBidi" w:cstheme="majorBidi"/>
          <w:b/>
          <w:bCs/>
          <w:szCs w:val="24"/>
        </w:rPr>
      </w:pPr>
    </w:p>
    <w:p w14:paraId="50865C93" w14:textId="4D9A66F1" w:rsidR="00913502" w:rsidRDefault="00913502" w:rsidP="00913502">
      <w:pPr>
        <w:rPr>
          <w:rFonts w:asciiTheme="majorBidi" w:hAnsiTheme="majorBidi" w:cstheme="majorBidi"/>
          <w:b/>
          <w:bCs/>
          <w:szCs w:val="24"/>
        </w:rPr>
      </w:pPr>
    </w:p>
    <w:p w14:paraId="376C08D6" w14:textId="469BD90D" w:rsidR="00913502" w:rsidRDefault="00913502" w:rsidP="00913502">
      <w:pPr>
        <w:rPr>
          <w:rFonts w:asciiTheme="majorBidi" w:hAnsiTheme="majorBidi" w:cstheme="majorBidi"/>
          <w:b/>
          <w:bCs/>
          <w:szCs w:val="24"/>
        </w:rPr>
      </w:pPr>
    </w:p>
    <w:p w14:paraId="63E2A35C" w14:textId="08A1DFE2" w:rsidR="00913502" w:rsidRDefault="00913502" w:rsidP="00913502">
      <w:pPr>
        <w:rPr>
          <w:rFonts w:asciiTheme="majorBidi" w:hAnsiTheme="majorBidi" w:cstheme="majorBidi"/>
          <w:b/>
          <w:bCs/>
          <w:szCs w:val="24"/>
        </w:rPr>
      </w:pPr>
    </w:p>
    <w:p w14:paraId="4516A450" w14:textId="10AA6848" w:rsidR="00913502" w:rsidRDefault="00913502" w:rsidP="00913502">
      <w:pPr>
        <w:rPr>
          <w:rFonts w:asciiTheme="majorBidi" w:hAnsiTheme="majorBidi" w:cstheme="majorBidi"/>
          <w:b/>
          <w:bCs/>
          <w:szCs w:val="24"/>
        </w:rPr>
      </w:pPr>
    </w:p>
    <w:p w14:paraId="746F561D" w14:textId="6E478D12" w:rsidR="00913502" w:rsidRDefault="00913502" w:rsidP="00913502">
      <w:pPr>
        <w:rPr>
          <w:rFonts w:asciiTheme="majorBidi" w:hAnsiTheme="majorBidi" w:cstheme="majorBidi"/>
          <w:b/>
          <w:bCs/>
          <w:szCs w:val="24"/>
        </w:rPr>
      </w:pPr>
    </w:p>
    <w:p w14:paraId="49FBD32A" w14:textId="5CE0D430" w:rsidR="00913502" w:rsidRDefault="00913502" w:rsidP="00913502">
      <w:pPr>
        <w:rPr>
          <w:rFonts w:asciiTheme="majorBidi" w:hAnsiTheme="majorBidi" w:cstheme="majorBidi"/>
          <w:b/>
          <w:bCs/>
          <w:szCs w:val="24"/>
        </w:rPr>
      </w:pPr>
    </w:p>
    <w:p w14:paraId="38391ECA" w14:textId="025EEDB3" w:rsidR="00913502" w:rsidRDefault="00913502" w:rsidP="00913502">
      <w:pPr>
        <w:rPr>
          <w:rFonts w:asciiTheme="majorBidi" w:hAnsiTheme="majorBidi" w:cstheme="majorBidi"/>
          <w:b/>
          <w:bCs/>
          <w:szCs w:val="24"/>
        </w:rPr>
      </w:pPr>
    </w:p>
    <w:p w14:paraId="0ED195FE" w14:textId="1973D9F7" w:rsidR="00913502" w:rsidRDefault="00913502" w:rsidP="00913502">
      <w:pPr>
        <w:rPr>
          <w:rFonts w:asciiTheme="majorBidi" w:hAnsiTheme="majorBidi" w:cstheme="majorBidi"/>
          <w:b/>
          <w:bCs/>
          <w:szCs w:val="24"/>
        </w:rPr>
      </w:pPr>
    </w:p>
    <w:p w14:paraId="0C7D950D" w14:textId="48CBCFAA" w:rsidR="00913502" w:rsidRDefault="00913502" w:rsidP="00913502">
      <w:pPr>
        <w:rPr>
          <w:rFonts w:asciiTheme="majorBidi" w:hAnsiTheme="majorBidi" w:cstheme="majorBidi"/>
          <w:b/>
          <w:bCs/>
          <w:szCs w:val="24"/>
        </w:rPr>
      </w:pPr>
    </w:p>
    <w:p w14:paraId="4DEA9296" w14:textId="3B065890" w:rsidR="00913502" w:rsidRDefault="00913502" w:rsidP="00913502">
      <w:pPr>
        <w:rPr>
          <w:rFonts w:asciiTheme="majorBidi" w:hAnsiTheme="majorBidi" w:cstheme="majorBidi"/>
          <w:b/>
          <w:bCs/>
          <w:szCs w:val="24"/>
        </w:rPr>
      </w:pPr>
    </w:p>
    <w:p w14:paraId="7D805E81" w14:textId="77777777" w:rsidR="00913502" w:rsidRPr="00913502" w:rsidRDefault="00913502" w:rsidP="00913502">
      <w:pPr>
        <w:rPr>
          <w:rFonts w:asciiTheme="majorBidi" w:hAnsiTheme="majorBidi" w:cstheme="majorBidi"/>
          <w:b/>
          <w:bCs/>
          <w:szCs w:val="24"/>
        </w:rPr>
      </w:pPr>
    </w:p>
    <w:p w14:paraId="708C70DB" w14:textId="4B314740" w:rsidR="00AA550E" w:rsidRDefault="00AA550E" w:rsidP="00AA550E">
      <w:pPr>
        <w:pStyle w:val="Ttulo2"/>
        <w:numPr>
          <w:ilvl w:val="1"/>
          <w:numId w:val="14"/>
        </w:numPr>
      </w:pPr>
      <w:r w:rsidRPr="0001436A">
        <w:lastRenderedPageBreak/>
        <w:t>Supplementary</w:t>
      </w:r>
      <w:r w:rsidRPr="001549D3">
        <w:t xml:space="preserve"> </w:t>
      </w:r>
      <w:r>
        <w:t>Tables</w:t>
      </w:r>
    </w:p>
    <w:p w14:paraId="4E7E2EFF" w14:textId="055862FA" w:rsidR="00BE15BC" w:rsidRDefault="00BE15BC" w:rsidP="00BE15BC">
      <w:r w:rsidRPr="00BE15BC">
        <w:t>Supplementary Tables</w:t>
      </w:r>
      <w:r>
        <w:t xml:space="preserve"> are annexed in an online data Excel file.</w:t>
      </w:r>
    </w:p>
    <w:p w14:paraId="59DDC919" w14:textId="3763453E" w:rsidR="00BE15BC" w:rsidRPr="00BE15BC" w:rsidRDefault="00BE15BC" w:rsidP="00BE15BC">
      <w:pPr>
        <w:rPr>
          <w:b/>
          <w:bCs/>
        </w:rPr>
      </w:pPr>
      <w:r w:rsidRPr="00BE15BC">
        <w:rPr>
          <w:b/>
          <w:bCs/>
        </w:rPr>
        <w:t>Supplementary Table</w:t>
      </w:r>
      <w:r>
        <w:rPr>
          <w:b/>
          <w:bCs/>
        </w:rPr>
        <w:t xml:space="preserve"> 1</w:t>
      </w:r>
      <w:r w:rsidRPr="00BE15BC">
        <w:rPr>
          <w:b/>
          <w:bCs/>
        </w:rPr>
        <w:t>. Detailed number of individuals included form each participant Hospital on the independent cohort.</w:t>
      </w:r>
    </w:p>
    <w:p w14:paraId="2C78A378" w14:textId="63E59E97" w:rsidR="00BE15BC" w:rsidRDefault="00BE15BC" w:rsidP="00BE15BC">
      <w:r w:rsidRPr="00BE15BC">
        <w:rPr>
          <w:b/>
          <w:bCs/>
        </w:rPr>
        <w:t>Supplementary Table</w:t>
      </w:r>
      <w:r>
        <w:rPr>
          <w:b/>
          <w:bCs/>
        </w:rPr>
        <w:t xml:space="preserve"> 2</w:t>
      </w:r>
      <w:r w:rsidRPr="00BE15BC">
        <w:rPr>
          <w:b/>
          <w:bCs/>
        </w:rPr>
        <w:t>. Detailed number of participants (IS and controls) included from each project</w:t>
      </w:r>
      <w:r>
        <w:t>. IS: ischemic strokes patients.</w:t>
      </w:r>
    </w:p>
    <w:p w14:paraId="2B23EED6" w14:textId="20CE6D2A" w:rsidR="00BE15BC" w:rsidRPr="00BE15BC" w:rsidRDefault="00BE15BC" w:rsidP="00BE15BC">
      <w:pPr>
        <w:rPr>
          <w:b/>
          <w:bCs/>
        </w:rPr>
      </w:pPr>
      <w:r w:rsidRPr="00BE15BC">
        <w:rPr>
          <w:b/>
          <w:bCs/>
        </w:rPr>
        <w:t>Supplementary Table</w:t>
      </w:r>
      <w:r>
        <w:rPr>
          <w:b/>
          <w:bCs/>
        </w:rPr>
        <w:t xml:space="preserve"> 3</w:t>
      </w:r>
      <w:r w:rsidRPr="00BE15BC">
        <w:rPr>
          <w:b/>
          <w:bCs/>
        </w:rPr>
        <w:t>. Clinical findings and univariate analysis of the additional cohort.</w:t>
      </w:r>
    </w:p>
    <w:p w14:paraId="1C8E6315" w14:textId="3E93A695" w:rsidR="00BE15BC" w:rsidRPr="00BE15BC" w:rsidRDefault="00014727" w:rsidP="00BE15BC">
      <w:pPr>
        <w:rPr>
          <w:b/>
          <w:bCs/>
        </w:rPr>
      </w:pPr>
      <w:r w:rsidRPr="00BE15BC">
        <w:rPr>
          <w:b/>
          <w:bCs/>
        </w:rPr>
        <w:t>Supplementary Table</w:t>
      </w:r>
      <w:r>
        <w:rPr>
          <w:b/>
          <w:bCs/>
        </w:rPr>
        <w:t xml:space="preserve"> 4</w:t>
      </w:r>
      <w:r w:rsidR="00BE15BC" w:rsidRPr="00BE15BC">
        <w:rPr>
          <w:b/>
          <w:bCs/>
        </w:rPr>
        <w:t xml:space="preserve">. Variant-to-Gene </w:t>
      </w:r>
      <w:r w:rsidR="00913502" w:rsidRPr="00BE15BC">
        <w:rPr>
          <w:b/>
          <w:bCs/>
        </w:rPr>
        <w:t>prioritization</w:t>
      </w:r>
      <w:r w:rsidR="00BE15BC" w:rsidRPr="00BE15BC">
        <w:rPr>
          <w:b/>
          <w:bCs/>
        </w:rPr>
        <w:t xml:space="preserve"> of the 40 novel loci in the MTAG-CES analysis.</w:t>
      </w:r>
    </w:p>
    <w:p w14:paraId="345571AD" w14:textId="62FD6A36" w:rsidR="00BE15BC" w:rsidRDefault="00014727" w:rsidP="00BE15BC">
      <w:r w:rsidRPr="00BE15BC">
        <w:rPr>
          <w:b/>
          <w:bCs/>
        </w:rPr>
        <w:t>Supplementary Table</w:t>
      </w:r>
      <w:r>
        <w:rPr>
          <w:b/>
          <w:bCs/>
        </w:rPr>
        <w:t xml:space="preserve"> 5. </w:t>
      </w:r>
      <w:r w:rsidR="00BE15BC" w:rsidRPr="00BE15BC">
        <w:rPr>
          <w:b/>
          <w:bCs/>
        </w:rPr>
        <w:t xml:space="preserve">Results of CES analysis on the European independent cohort. </w:t>
      </w:r>
      <w:r w:rsidR="00BE15BC">
        <w:t xml:space="preserve">AA: </w:t>
      </w:r>
      <w:r w:rsidR="000020EB">
        <w:t>Assessed</w:t>
      </w:r>
      <w:r w:rsidR="00BE15BC">
        <w:t xml:space="preserve"> allele, OA: Other allele, CHR: chromosome, BP: base pairs, SE: Standard Error, B: beta, Z: z-score; P: p-value.   Genomic location is in Hg19</w:t>
      </w:r>
    </w:p>
    <w:p w14:paraId="2EE08777" w14:textId="2C6BBC53" w:rsidR="00E35F60" w:rsidRDefault="00E35F60" w:rsidP="00E35F60">
      <w:r w:rsidRPr="00BE15BC">
        <w:rPr>
          <w:b/>
          <w:bCs/>
        </w:rPr>
        <w:t>Supplementary Table</w:t>
      </w:r>
      <w:r>
        <w:rPr>
          <w:b/>
          <w:bCs/>
        </w:rPr>
        <w:t xml:space="preserve"> </w:t>
      </w:r>
      <w:r>
        <w:rPr>
          <w:b/>
          <w:bCs/>
        </w:rPr>
        <w:t>6</w:t>
      </w:r>
      <w:r w:rsidRPr="00BE15BC">
        <w:rPr>
          <w:b/>
          <w:bCs/>
        </w:rPr>
        <w:t>. Results of MTAG for previous and novel loci associated with AF</w:t>
      </w:r>
      <w:r>
        <w:t xml:space="preserve">. SE: Standard Error, B: beta, Z: z-score; P: p-value.  </w:t>
      </w:r>
    </w:p>
    <w:p w14:paraId="4CF6CF91" w14:textId="6014400B" w:rsidR="00BE15BC" w:rsidRPr="00BE15BC" w:rsidRDefault="00014727" w:rsidP="00BE15BC">
      <w:pPr>
        <w:rPr>
          <w:b/>
          <w:bCs/>
        </w:rPr>
      </w:pPr>
      <w:r w:rsidRPr="00BE15BC">
        <w:rPr>
          <w:b/>
          <w:bCs/>
        </w:rPr>
        <w:t>Supplementary Table</w:t>
      </w:r>
      <w:r>
        <w:rPr>
          <w:b/>
          <w:bCs/>
        </w:rPr>
        <w:t xml:space="preserve"> </w:t>
      </w:r>
      <w:r w:rsidR="00E35F60">
        <w:rPr>
          <w:b/>
          <w:bCs/>
        </w:rPr>
        <w:t>7</w:t>
      </w:r>
      <w:r w:rsidR="00BE15BC" w:rsidRPr="00BE15BC">
        <w:rPr>
          <w:b/>
          <w:bCs/>
        </w:rPr>
        <w:t>. Gene Ontology of biological systems results for the gene sets of prioritized genes associated with a risk of cardioembolic stroke.</w:t>
      </w:r>
    </w:p>
    <w:p w14:paraId="310BA2E3" w14:textId="2173B938" w:rsidR="00BE15BC" w:rsidRPr="00BE15BC" w:rsidRDefault="00014727" w:rsidP="00BE15BC">
      <w:pPr>
        <w:rPr>
          <w:b/>
          <w:bCs/>
        </w:rPr>
      </w:pPr>
      <w:r w:rsidRPr="00BE15BC">
        <w:rPr>
          <w:b/>
          <w:bCs/>
        </w:rPr>
        <w:t>Supplementary Table</w:t>
      </w:r>
      <w:r>
        <w:rPr>
          <w:b/>
          <w:bCs/>
        </w:rPr>
        <w:t xml:space="preserve"> 8</w:t>
      </w:r>
      <w:r w:rsidR="00BE15BC" w:rsidRPr="00BE15BC">
        <w:rPr>
          <w:b/>
          <w:bCs/>
        </w:rPr>
        <w:t>. Gene Ontology of biological systems results for the gene sets of prioritized genes associated with atrial fibrillation risk exclusive.</w:t>
      </w:r>
    </w:p>
    <w:p w14:paraId="3C87412F" w14:textId="29014282" w:rsidR="00AA550E" w:rsidRPr="00BE15BC" w:rsidRDefault="00014727" w:rsidP="00BE15BC">
      <w:pPr>
        <w:rPr>
          <w:b/>
          <w:bCs/>
        </w:rPr>
      </w:pPr>
      <w:r w:rsidRPr="00BE15BC">
        <w:rPr>
          <w:b/>
          <w:bCs/>
        </w:rPr>
        <w:t>Supplementary Table</w:t>
      </w:r>
      <w:r>
        <w:rPr>
          <w:b/>
          <w:bCs/>
        </w:rPr>
        <w:t xml:space="preserve"> 9</w:t>
      </w:r>
      <w:r w:rsidR="00BE15BC" w:rsidRPr="00BE15BC">
        <w:rPr>
          <w:b/>
          <w:bCs/>
        </w:rPr>
        <w:t>. Gene Ontology of biological systems results for the gene sets of prioritized genes associated with atrial fibrillation risk that do not overlap with those associated with CES.</w:t>
      </w:r>
    </w:p>
    <w:p w14:paraId="0642108A" w14:textId="07D51C51" w:rsidR="003426E1" w:rsidRDefault="00014727" w:rsidP="003426E1">
      <w:pPr>
        <w:rPr>
          <w:rFonts w:cs="Times New Roman"/>
          <w:b/>
          <w:szCs w:val="24"/>
        </w:rPr>
      </w:pPr>
      <w:r w:rsidRPr="00BE15BC">
        <w:rPr>
          <w:b/>
          <w:bCs/>
        </w:rPr>
        <w:t>Supplementary Table</w:t>
      </w:r>
      <w:r>
        <w:rPr>
          <w:b/>
          <w:bCs/>
        </w:rPr>
        <w:t xml:space="preserve"> 10</w:t>
      </w:r>
      <w:r w:rsidRPr="00BE15BC">
        <w:rPr>
          <w:b/>
          <w:bCs/>
        </w:rPr>
        <w:t xml:space="preserve">. </w:t>
      </w:r>
      <w:r w:rsidRPr="00014727">
        <w:rPr>
          <w:b/>
          <w:bCs/>
        </w:rPr>
        <w:t>Clinical characteristics of the training and test set used for the polygenic risk score analysis</w:t>
      </w:r>
      <w:r w:rsidRPr="00BE15BC">
        <w:rPr>
          <w:b/>
          <w:bCs/>
        </w:rPr>
        <w:t>.</w:t>
      </w:r>
    </w:p>
    <w:p w14:paraId="15AC04DA" w14:textId="0342E63B" w:rsidR="003426E1" w:rsidRDefault="003426E1" w:rsidP="003426E1">
      <w:pPr>
        <w:rPr>
          <w:rFonts w:cs="Times New Roman"/>
          <w:b/>
          <w:szCs w:val="24"/>
        </w:rPr>
      </w:pPr>
    </w:p>
    <w:p w14:paraId="38872067" w14:textId="32F2E763" w:rsidR="003426E1" w:rsidRDefault="003426E1" w:rsidP="003426E1">
      <w:pPr>
        <w:rPr>
          <w:rFonts w:cs="Times New Roman"/>
          <w:b/>
          <w:szCs w:val="24"/>
        </w:rPr>
      </w:pPr>
    </w:p>
    <w:p w14:paraId="2BA394E3" w14:textId="3D938CBA" w:rsidR="003426E1" w:rsidRDefault="003426E1" w:rsidP="003426E1">
      <w:pPr>
        <w:rPr>
          <w:rFonts w:cs="Times New Roman"/>
          <w:b/>
          <w:szCs w:val="24"/>
        </w:rPr>
      </w:pPr>
    </w:p>
    <w:p w14:paraId="608A8141" w14:textId="3C8D719B" w:rsidR="003426E1" w:rsidRDefault="003426E1" w:rsidP="003426E1">
      <w:pPr>
        <w:rPr>
          <w:rFonts w:cs="Times New Roman"/>
          <w:b/>
          <w:szCs w:val="24"/>
        </w:rPr>
      </w:pPr>
    </w:p>
    <w:p w14:paraId="194C1CBB" w14:textId="17F6E81C" w:rsidR="003426E1" w:rsidRDefault="003426E1" w:rsidP="003426E1">
      <w:pPr>
        <w:rPr>
          <w:rFonts w:cs="Times New Roman"/>
          <w:b/>
          <w:szCs w:val="24"/>
        </w:rPr>
      </w:pPr>
    </w:p>
    <w:p w14:paraId="76333A28" w14:textId="264B1562" w:rsidR="003426E1" w:rsidRDefault="003426E1" w:rsidP="003426E1">
      <w:pPr>
        <w:rPr>
          <w:rFonts w:cs="Times New Roman"/>
          <w:b/>
          <w:szCs w:val="24"/>
        </w:rPr>
      </w:pPr>
    </w:p>
    <w:p w14:paraId="29800607" w14:textId="77777777" w:rsidR="003426E1" w:rsidRDefault="003426E1" w:rsidP="003426E1">
      <w:pPr>
        <w:rPr>
          <w:rFonts w:cs="Times New Roman"/>
          <w:b/>
          <w:szCs w:val="24"/>
        </w:rPr>
      </w:pPr>
    </w:p>
    <w:p w14:paraId="0699BD5E" w14:textId="5687EFB8" w:rsidR="003426E1" w:rsidRPr="002B4A57" w:rsidRDefault="003426E1" w:rsidP="002B4A57">
      <w:pPr>
        <w:keepNext/>
        <w:rPr>
          <w:rFonts w:cs="Times New Roman"/>
          <w:b/>
          <w:szCs w:val="24"/>
        </w:rPr>
      </w:pPr>
      <w:r>
        <w:rPr>
          <w:rFonts w:cs="Times New Roman"/>
          <w:b/>
          <w:szCs w:val="24"/>
        </w:rPr>
        <w:lastRenderedPageBreak/>
        <w:t>3. Supplementary References</w:t>
      </w:r>
    </w:p>
    <w:p w14:paraId="0ED25AC1" w14:textId="270DB8BE" w:rsidR="003426E1" w:rsidRPr="003426E1" w:rsidRDefault="003426E1" w:rsidP="003426E1">
      <w:pPr>
        <w:widowControl w:val="0"/>
        <w:autoSpaceDE w:val="0"/>
        <w:autoSpaceDN w:val="0"/>
        <w:adjustRightInd w:val="0"/>
        <w:spacing w:before="240"/>
        <w:ind w:left="480" w:hanging="480"/>
        <w:rPr>
          <w:rFonts w:cs="Times New Roman"/>
          <w:noProof/>
          <w:szCs w:val="24"/>
        </w:rPr>
      </w:pPr>
      <w:r>
        <w:fldChar w:fldCharType="begin" w:fldLock="1"/>
      </w:r>
      <w:r>
        <w:instrText xml:space="preserve">ADDIN Mendeley Bibliography CSL_BIBLIOGRAPHY </w:instrText>
      </w:r>
      <w:r>
        <w:fldChar w:fldCharType="separate"/>
      </w:r>
      <w:r w:rsidRPr="003426E1">
        <w:rPr>
          <w:rFonts w:cs="Times New Roman"/>
          <w:noProof/>
          <w:szCs w:val="24"/>
        </w:rPr>
        <w:t xml:space="preserve">Carey, D. J., Fetterolf, S. N., Davis, F. D., Faucett, W. A., Kirchner, H. L., Mirshahi, U., et al. (2016). The Geisinger MyCode community health initiative: An electronic health record-linked biobank for precision medicine research. </w:t>
      </w:r>
      <w:r w:rsidRPr="003426E1">
        <w:rPr>
          <w:rFonts w:cs="Times New Roman"/>
          <w:i/>
          <w:iCs/>
          <w:noProof/>
          <w:szCs w:val="24"/>
        </w:rPr>
        <w:t>Genet. Med.</w:t>
      </w:r>
      <w:r w:rsidRPr="003426E1">
        <w:rPr>
          <w:rFonts w:cs="Times New Roman"/>
          <w:noProof/>
          <w:szCs w:val="24"/>
        </w:rPr>
        <w:t xml:space="preserve"> 18, 906–913. doi:10.1038/gim.2015.187.</w:t>
      </w:r>
    </w:p>
    <w:p w14:paraId="36F0654C" w14:textId="77777777" w:rsidR="003426E1" w:rsidRPr="003426E1" w:rsidRDefault="003426E1" w:rsidP="003426E1">
      <w:pPr>
        <w:widowControl w:val="0"/>
        <w:autoSpaceDE w:val="0"/>
        <w:autoSpaceDN w:val="0"/>
        <w:adjustRightInd w:val="0"/>
        <w:spacing w:before="240"/>
        <w:ind w:left="480" w:hanging="480"/>
        <w:rPr>
          <w:rFonts w:cs="Times New Roman"/>
          <w:noProof/>
          <w:szCs w:val="24"/>
        </w:rPr>
      </w:pPr>
      <w:r w:rsidRPr="003426E1">
        <w:rPr>
          <w:rFonts w:cs="Times New Roman"/>
          <w:noProof/>
          <w:szCs w:val="24"/>
        </w:rPr>
        <w:t xml:space="preserve">Das, S., Forer, L., Schönherr, S., Sidore, C., Locke, A. E., Kwong, A., et al. (2016). Next-generation genotype imputation service and methods. </w:t>
      </w:r>
      <w:r w:rsidRPr="003426E1">
        <w:rPr>
          <w:rFonts w:cs="Times New Roman"/>
          <w:i/>
          <w:iCs/>
          <w:noProof/>
          <w:szCs w:val="24"/>
        </w:rPr>
        <w:t>Nat. Genet.</w:t>
      </w:r>
      <w:r w:rsidRPr="003426E1">
        <w:rPr>
          <w:rFonts w:cs="Times New Roman"/>
          <w:noProof/>
          <w:szCs w:val="24"/>
        </w:rPr>
        <w:t xml:space="preserve"> 48, 1284–1287. doi:10.1038/ng.3656.</w:t>
      </w:r>
    </w:p>
    <w:p w14:paraId="3F6ADD84" w14:textId="77777777" w:rsidR="003426E1" w:rsidRPr="003426E1" w:rsidRDefault="003426E1" w:rsidP="003426E1">
      <w:pPr>
        <w:widowControl w:val="0"/>
        <w:autoSpaceDE w:val="0"/>
        <w:autoSpaceDN w:val="0"/>
        <w:adjustRightInd w:val="0"/>
        <w:spacing w:before="240"/>
        <w:ind w:left="480" w:hanging="480"/>
        <w:rPr>
          <w:rFonts w:cs="Times New Roman"/>
          <w:noProof/>
          <w:szCs w:val="24"/>
        </w:rPr>
      </w:pPr>
      <w:r w:rsidRPr="002A740F">
        <w:rPr>
          <w:rFonts w:cs="Times New Roman"/>
          <w:noProof/>
          <w:szCs w:val="24"/>
          <w:lang w:val="es-ES"/>
        </w:rPr>
        <w:t xml:space="preserve">Domingues-Montanari, S., Fernández-Cadenas, I., Del Río-Espinola, A., Mendioroz, M., Fernandez-Morales, J., Corbeto, N., et al. </w:t>
      </w:r>
      <w:r w:rsidRPr="003426E1">
        <w:rPr>
          <w:rFonts w:cs="Times New Roman"/>
          <w:noProof/>
          <w:szCs w:val="24"/>
        </w:rPr>
        <w:t xml:space="preserve">(2010). KCNK17 genetic variants in ischemic stroke. </w:t>
      </w:r>
      <w:r w:rsidRPr="003426E1">
        <w:rPr>
          <w:rFonts w:cs="Times New Roman"/>
          <w:i/>
          <w:iCs/>
          <w:noProof/>
          <w:szCs w:val="24"/>
        </w:rPr>
        <w:t>Atherosclerosis</w:t>
      </w:r>
      <w:r w:rsidRPr="003426E1">
        <w:rPr>
          <w:rFonts w:cs="Times New Roman"/>
          <w:noProof/>
          <w:szCs w:val="24"/>
        </w:rPr>
        <w:t xml:space="preserve"> 208, 203–9. doi:10.1016/j.atherosclerosis.2009.07.023.</w:t>
      </w:r>
    </w:p>
    <w:p w14:paraId="01C0E0AE" w14:textId="77777777" w:rsidR="003426E1" w:rsidRPr="003426E1" w:rsidRDefault="003426E1" w:rsidP="003426E1">
      <w:pPr>
        <w:widowControl w:val="0"/>
        <w:autoSpaceDE w:val="0"/>
        <w:autoSpaceDN w:val="0"/>
        <w:adjustRightInd w:val="0"/>
        <w:spacing w:before="240"/>
        <w:ind w:left="480" w:hanging="480"/>
        <w:rPr>
          <w:rFonts w:cs="Times New Roman"/>
          <w:noProof/>
          <w:szCs w:val="24"/>
        </w:rPr>
      </w:pPr>
      <w:r w:rsidRPr="002A740F">
        <w:rPr>
          <w:rFonts w:cs="Times New Roman"/>
          <w:noProof/>
          <w:szCs w:val="24"/>
          <w:lang w:val="es-ES"/>
        </w:rPr>
        <w:t xml:space="preserve">Fernández-Cadenas, I., Mendióroz, M., Giralt, D., Nafria, C., Garcia, E., Carrera, C., et al. </w:t>
      </w:r>
      <w:r w:rsidRPr="003426E1">
        <w:rPr>
          <w:rFonts w:cs="Times New Roman"/>
          <w:noProof/>
          <w:szCs w:val="24"/>
        </w:rPr>
        <w:t xml:space="preserve">(2017). GRECOS Project (Genotyping Recurrence Risk of Stroke). </w:t>
      </w:r>
      <w:r w:rsidRPr="003426E1">
        <w:rPr>
          <w:rFonts w:cs="Times New Roman"/>
          <w:i/>
          <w:iCs/>
          <w:noProof/>
          <w:szCs w:val="24"/>
        </w:rPr>
        <w:t>Stroke</w:t>
      </w:r>
      <w:r w:rsidRPr="003426E1">
        <w:rPr>
          <w:rFonts w:cs="Times New Roman"/>
          <w:noProof/>
          <w:szCs w:val="24"/>
        </w:rPr>
        <w:t xml:space="preserve"> 48, 1147–1153. doi:10.1161/STROKEAHA.116.014322.</w:t>
      </w:r>
    </w:p>
    <w:p w14:paraId="5F7830E0" w14:textId="77777777" w:rsidR="003426E1" w:rsidRPr="003426E1" w:rsidRDefault="003426E1" w:rsidP="003426E1">
      <w:pPr>
        <w:widowControl w:val="0"/>
        <w:autoSpaceDE w:val="0"/>
        <w:autoSpaceDN w:val="0"/>
        <w:adjustRightInd w:val="0"/>
        <w:spacing w:before="240"/>
        <w:ind w:left="480" w:hanging="480"/>
        <w:rPr>
          <w:rFonts w:cs="Times New Roman"/>
          <w:noProof/>
          <w:szCs w:val="24"/>
        </w:rPr>
      </w:pPr>
      <w:r w:rsidRPr="002A740F">
        <w:rPr>
          <w:rFonts w:cs="Times New Roman"/>
          <w:noProof/>
          <w:szCs w:val="24"/>
          <w:lang w:val="es-ES"/>
        </w:rPr>
        <w:t xml:space="preserve">Heitsch, L., Ibanez, L., Carrera, C., Pera, J., Jimenez-Conde, J., Slowik, A., et al. </w:t>
      </w:r>
      <w:r w:rsidRPr="003426E1">
        <w:rPr>
          <w:rFonts w:cs="Times New Roman"/>
          <w:noProof/>
          <w:szCs w:val="24"/>
        </w:rPr>
        <w:t xml:space="preserve">(2017). Meta-analysis of Transethnic Association (MANTRA) Reveals Loci Associated With Neurological Instability After Acute Ischemic Stroke. in </w:t>
      </w:r>
      <w:r w:rsidRPr="003426E1">
        <w:rPr>
          <w:rFonts w:cs="Times New Roman"/>
          <w:i/>
          <w:iCs/>
          <w:noProof/>
          <w:szCs w:val="24"/>
        </w:rPr>
        <w:t>International Stroke Conference</w:t>
      </w:r>
      <w:r w:rsidRPr="003426E1">
        <w:rPr>
          <w:rFonts w:cs="Times New Roman"/>
          <w:noProof/>
          <w:szCs w:val="24"/>
        </w:rPr>
        <w:t>.</w:t>
      </w:r>
    </w:p>
    <w:p w14:paraId="20F7EE07" w14:textId="77777777" w:rsidR="003426E1" w:rsidRPr="003426E1" w:rsidRDefault="003426E1" w:rsidP="003426E1">
      <w:pPr>
        <w:widowControl w:val="0"/>
        <w:autoSpaceDE w:val="0"/>
        <w:autoSpaceDN w:val="0"/>
        <w:adjustRightInd w:val="0"/>
        <w:spacing w:before="240"/>
        <w:ind w:left="480" w:hanging="480"/>
        <w:rPr>
          <w:rFonts w:cs="Times New Roman"/>
          <w:noProof/>
          <w:szCs w:val="24"/>
        </w:rPr>
      </w:pPr>
      <w:r w:rsidRPr="003426E1">
        <w:rPr>
          <w:rFonts w:cs="Times New Roman"/>
          <w:noProof/>
          <w:szCs w:val="24"/>
        </w:rPr>
        <w:t xml:space="preserve">Larrue, V., Von Kummer, R., Del Zoppo, G., and Bluhmki, E. (1997). Hemorrhagic transformation in acute ischemic stroke: Potential contributing factors in the European Cooperative Acute Stroke Study. </w:t>
      </w:r>
      <w:r w:rsidRPr="003426E1">
        <w:rPr>
          <w:rFonts w:cs="Times New Roman"/>
          <w:i/>
          <w:iCs/>
          <w:noProof/>
          <w:szCs w:val="24"/>
        </w:rPr>
        <w:t>Stroke</w:t>
      </w:r>
      <w:r w:rsidRPr="003426E1">
        <w:rPr>
          <w:rFonts w:cs="Times New Roman"/>
          <w:noProof/>
          <w:szCs w:val="24"/>
        </w:rPr>
        <w:t xml:space="preserve"> 28, 957–960. doi:10.1161/01.STR.28.5.957.</w:t>
      </w:r>
    </w:p>
    <w:p w14:paraId="62733531" w14:textId="77777777" w:rsidR="003426E1" w:rsidRPr="002A740F" w:rsidRDefault="003426E1" w:rsidP="003426E1">
      <w:pPr>
        <w:widowControl w:val="0"/>
        <w:autoSpaceDE w:val="0"/>
        <w:autoSpaceDN w:val="0"/>
        <w:adjustRightInd w:val="0"/>
        <w:spacing w:before="240"/>
        <w:ind w:left="480" w:hanging="480"/>
        <w:rPr>
          <w:rFonts w:cs="Times New Roman"/>
          <w:noProof/>
          <w:szCs w:val="24"/>
          <w:lang w:val="es-ES"/>
        </w:rPr>
      </w:pPr>
      <w:r w:rsidRPr="003426E1">
        <w:rPr>
          <w:rFonts w:cs="Times New Roman"/>
          <w:noProof/>
          <w:szCs w:val="24"/>
        </w:rPr>
        <w:t xml:space="preserve">Malik, R., Chauhan, G., Traylor, M., Sargurupremraj, M., Okada, Y., Mishra, A., et al. (2018). Multiancestry genome-wide association study of 520,000 subjects identifies 32 loci associated with stroke and stroke subtypes. </w:t>
      </w:r>
      <w:r w:rsidRPr="002A740F">
        <w:rPr>
          <w:rFonts w:cs="Times New Roman"/>
          <w:i/>
          <w:iCs/>
          <w:noProof/>
          <w:szCs w:val="24"/>
          <w:lang w:val="es-ES"/>
        </w:rPr>
        <w:t>Nat. Genet.</w:t>
      </w:r>
      <w:r w:rsidRPr="002A740F">
        <w:rPr>
          <w:rFonts w:cs="Times New Roman"/>
          <w:noProof/>
          <w:szCs w:val="24"/>
          <w:lang w:val="es-ES"/>
        </w:rPr>
        <w:t xml:space="preserve"> 50, 524–537. doi:10.1038/s41588-018-0058-3.</w:t>
      </w:r>
    </w:p>
    <w:p w14:paraId="78CC90E8" w14:textId="77777777" w:rsidR="003426E1" w:rsidRPr="002A740F" w:rsidRDefault="003426E1" w:rsidP="003426E1">
      <w:pPr>
        <w:widowControl w:val="0"/>
        <w:autoSpaceDE w:val="0"/>
        <w:autoSpaceDN w:val="0"/>
        <w:adjustRightInd w:val="0"/>
        <w:spacing w:before="240"/>
        <w:ind w:left="480" w:hanging="480"/>
        <w:rPr>
          <w:rFonts w:cs="Times New Roman"/>
          <w:noProof/>
          <w:szCs w:val="24"/>
          <w:lang w:val="es-ES"/>
        </w:rPr>
      </w:pPr>
      <w:r w:rsidRPr="002A740F">
        <w:rPr>
          <w:rFonts w:cs="Times New Roman"/>
          <w:noProof/>
          <w:szCs w:val="24"/>
          <w:lang w:val="es-ES"/>
        </w:rPr>
        <w:t xml:space="preserve">Mola-Caminal, M., Carrera, C., Soriano-Tárraga, C., Giralt-Steinhauer, E., Díaz-Navarro, R. M., Tur, S., et al. </w:t>
      </w:r>
      <w:r w:rsidRPr="003426E1">
        <w:rPr>
          <w:rFonts w:cs="Times New Roman"/>
          <w:noProof/>
          <w:szCs w:val="24"/>
        </w:rPr>
        <w:t xml:space="preserve">(2019a). PATJ Low Frequency Variants Are Associated with Worse Ischemic Stroke Functional Outcome: A Genome-Wide Meta-Analysis. </w:t>
      </w:r>
      <w:r w:rsidRPr="002A740F">
        <w:rPr>
          <w:rFonts w:cs="Times New Roman"/>
          <w:i/>
          <w:iCs/>
          <w:noProof/>
          <w:szCs w:val="24"/>
          <w:lang w:val="es-ES"/>
        </w:rPr>
        <w:t>Circ. Res.</w:t>
      </w:r>
      <w:r w:rsidRPr="002A740F">
        <w:rPr>
          <w:rFonts w:cs="Times New Roman"/>
          <w:noProof/>
          <w:szCs w:val="24"/>
          <w:lang w:val="es-ES"/>
        </w:rPr>
        <w:t xml:space="preserve"> 124, 114–120. doi:10.1161/CIRCRESAHA.118.313533.</w:t>
      </w:r>
    </w:p>
    <w:p w14:paraId="5AE01B00" w14:textId="77777777" w:rsidR="003426E1" w:rsidRPr="002A740F" w:rsidRDefault="003426E1" w:rsidP="003426E1">
      <w:pPr>
        <w:widowControl w:val="0"/>
        <w:autoSpaceDE w:val="0"/>
        <w:autoSpaceDN w:val="0"/>
        <w:adjustRightInd w:val="0"/>
        <w:spacing w:before="240"/>
        <w:ind w:left="480" w:hanging="480"/>
        <w:rPr>
          <w:rFonts w:cs="Times New Roman"/>
          <w:noProof/>
          <w:szCs w:val="24"/>
          <w:lang w:val="es-ES"/>
        </w:rPr>
      </w:pPr>
      <w:r w:rsidRPr="002A740F">
        <w:rPr>
          <w:rFonts w:cs="Times New Roman"/>
          <w:noProof/>
          <w:szCs w:val="24"/>
          <w:lang w:val="es-ES"/>
        </w:rPr>
        <w:t xml:space="preserve">Mola-Caminal, M., Carrera, C., Soriano-Tárraga, C., Giralt-Steinhauer, E., Díaz-Navarro, R. M., Tur, S., et al. </w:t>
      </w:r>
      <w:r w:rsidRPr="003426E1">
        <w:rPr>
          <w:rFonts w:cs="Times New Roman"/>
          <w:noProof/>
          <w:szCs w:val="24"/>
        </w:rPr>
        <w:t xml:space="preserve">(2019b). </w:t>
      </w:r>
      <w:r w:rsidRPr="003426E1">
        <w:rPr>
          <w:rFonts w:cs="Times New Roman"/>
          <w:i/>
          <w:iCs/>
          <w:noProof/>
          <w:szCs w:val="24"/>
        </w:rPr>
        <w:t>PATJ</w:t>
      </w:r>
      <w:r w:rsidRPr="003426E1">
        <w:rPr>
          <w:rFonts w:cs="Times New Roman"/>
          <w:noProof/>
          <w:szCs w:val="24"/>
        </w:rPr>
        <w:t xml:space="preserve"> Low Frequency Variants Are Associated With Worse Ischemic Stroke Functional Outcome. </w:t>
      </w:r>
      <w:r w:rsidRPr="002A740F">
        <w:rPr>
          <w:rFonts w:cs="Times New Roman"/>
          <w:i/>
          <w:iCs/>
          <w:noProof/>
          <w:szCs w:val="24"/>
          <w:lang w:val="es-ES"/>
        </w:rPr>
        <w:t>Circ. Res.</w:t>
      </w:r>
      <w:r w:rsidRPr="002A740F">
        <w:rPr>
          <w:rFonts w:cs="Times New Roman"/>
          <w:noProof/>
          <w:szCs w:val="24"/>
          <w:lang w:val="es-ES"/>
        </w:rPr>
        <w:t xml:space="preserve"> 124, 114–120. doi:10.1161/CIRCRESAHA.118.313533.</w:t>
      </w:r>
    </w:p>
    <w:p w14:paraId="6278BF9E" w14:textId="77777777" w:rsidR="003426E1" w:rsidRPr="002A740F" w:rsidRDefault="003426E1" w:rsidP="003426E1">
      <w:pPr>
        <w:widowControl w:val="0"/>
        <w:autoSpaceDE w:val="0"/>
        <w:autoSpaceDN w:val="0"/>
        <w:adjustRightInd w:val="0"/>
        <w:spacing w:before="240"/>
        <w:ind w:left="480" w:hanging="480"/>
        <w:rPr>
          <w:rFonts w:cs="Times New Roman"/>
          <w:noProof/>
          <w:szCs w:val="24"/>
          <w:lang w:val="es-ES"/>
        </w:rPr>
      </w:pPr>
      <w:r w:rsidRPr="002A740F">
        <w:rPr>
          <w:rFonts w:cs="Times New Roman"/>
          <w:noProof/>
          <w:szCs w:val="24"/>
          <w:lang w:val="es-ES"/>
        </w:rPr>
        <w:t xml:space="preserve">Obón-Santacana, M., Vilardell, M., Carreras, A., Duran, X., Velasco, J., Galván-Femenía, I., et al. </w:t>
      </w:r>
      <w:r w:rsidRPr="003426E1">
        <w:rPr>
          <w:rFonts w:cs="Times New Roman"/>
          <w:noProof/>
          <w:szCs w:val="24"/>
        </w:rPr>
        <w:t xml:space="preserve">(2018). GCAT|Genomes for life: a prospective cohort study of the genomes of Catalonia. </w:t>
      </w:r>
      <w:r w:rsidRPr="002A740F">
        <w:rPr>
          <w:rFonts w:cs="Times New Roman"/>
          <w:i/>
          <w:iCs/>
          <w:noProof/>
          <w:szCs w:val="24"/>
          <w:lang w:val="es-ES"/>
        </w:rPr>
        <w:t>BMJ Open</w:t>
      </w:r>
      <w:r w:rsidRPr="002A740F">
        <w:rPr>
          <w:rFonts w:cs="Times New Roman"/>
          <w:noProof/>
          <w:szCs w:val="24"/>
          <w:lang w:val="es-ES"/>
        </w:rPr>
        <w:t xml:space="preserve"> 8, e018324. doi:10.1136/bmjopen-2017-018324.</w:t>
      </w:r>
    </w:p>
    <w:p w14:paraId="4D5BEA76" w14:textId="77777777" w:rsidR="003426E1" w:rsidRPr="003426E1" w:rsidRDefault="003426E1" w:rsidP="003426E1">
      <w:pPr>
        <w:widowControl w:val="0"/>
        <w:autoSpaceDE w:val="0"/>
        <w:autoSpaceDN w:val="0"/>
        <w:adjustRightInd w:val="0"/>
        <w:spacing w:before="240"/>
        <w:ind w:left="480" w:hanging="480"/>
        <w:rPr>
          <w:rFonts w:cs="Times New Roman"/>
          <w:noProof/>
          <w:szCs w:val="24"/>
        </w:rPr>
      </w:pPr>
      <w:r w:rsidRPr="002A740F">
        <w:rPr>
          <w:rFonts w:cs="Times New Roman"/>
          <w:noProof/>
          <w:szCs w:val="24"/>
          <w:lang w:val="es-ES"/>
        </w:rPr>
        <w:t xml:space="preserve">Riba, I., Jarca, C. I., Mundet, X., Tovar, J. L., Orfila, F., Nafría, C., et al. </w:t>
      </w:r>
      <w:r w:rsidRPr="003426E1">
        <w:rPr>
          <w:rFonts w:cs="Times New Roman"/>
          <w:noProof/>
          <w:szCs w:val="24"/>
        </w:rPr>
        <w:t xml:space="preserve">(2012). Cognitive assessment protocol design in the ISSYS (Investigating Silent Strokes in hYpertensives: A magnetic resonance imaging Study). </w:t>
      </w:r>
      <w:r w:rsidRPr="003426E1">
        <w:rPr>
          <w:rFonts w:cs="Times New Roman"/>
          <w:i/>
          <w:iCs/>
          <w:noProof/>
          <w:szCs w:val="24"/>
        </w:rPr>
        <w:t>J. Neurol. Sci.</w:t>
      </w:r>
      <w:r w:rsidRPr="003426E1">
        <w:rPr>
          <w:rFonts w:cs="Times New Roman"/>
          <w:noProof/>
          <w:szCs w:val="24"/>
        </w:rPr>
        <w:t xml:space="preserve"> 322, 79–81. doi:10.1016/j.jns.2012.06.015.</w:t>
      </w:r>
    </w:p>
    <w:p w14:paraId="5A3E9771" w14:textId="77777777" w:rsidR="003426E1" w:rsidRPr="003426E1" w:rsidRDefault="003426E1" w:rsidP="003426E1">
      <w:pPr>
        <w:widowControl w:val="0"/>
        <w:autoSpaceDE w:val="0"/>
        <w:autoSpaceDN w:val="0"/>
        <w:adjustRightInd w:val="0"/>
        <w:spacing w:before="240"/>
        <w:ind w:left="480" w:hanging="480"/>
        <w:rPr>
          <w:rFonts w:cs="Times New Roman"/>
          <w:noProof/>
          <w:szCs w:val="24"/>
        </w:rPr>
      </w:pPr>
      <w:r w:rsidRPr="003426E1">
        <w:rPr>
          <w:rFonts w:cs="Times New Roman"/>
          <w:noProof/>
          <w:szCs w:val="24"/>
        </w:rPr>
        <w:t xml:space="preserve">S Krokstad, A Langhammer, K Hveem, T L Holmen, K Midthjell, T R Stene, G Bratberg, J Heggland, J. H. (2013). Cohort Profile: The HUNT Study. </w:t>
      </w:r>
      <w:r w:rsidRPr="003426E1">
        <w:rPr>
          <w:rFonts w:cs="Times New Roman"/>
          <w:i/>
          <w:iCs/>
          <w:noProof/>
          <w:szCs w:val="24"/>
        </w:rPr>
        <w:t>Int. J. Epidemiol.</w:t>
      </w:r>
      <w:r w:rsidRPr="003426E1">
        <w:rPr>
          <w:rFonts w:cs="Times New Roman"/>
          <w:noProof/>
          <w:szCs w:val="24"/>
        </w:rPr>
        <w:t>, 968–77. Available at: https://academic.oup.com/ije/article/42/4/968/655743 [Accessed July 10, 2020].</w:t>
      </w:r>
    </w:p>
    <w:p w14:paraId="2E44BD71" w14:textId="77777777" w:rsidR="003426E1" w:rsidRPr="003426E1" w:rsidRDefault="003426E1" w:rsidP="003426E1">
      <w:pPr>
        <w:widowControl w:val="0"/>
        <w:autoSpaceDE w:val="0"/>
        <w:autoSpaceDN w:val="0"/>
        <w:adjustRightInd w:val="0"/>
        <w:spacing w:before="240"/>
        <w:ind w:left="480" w:hanging="480"/>
        <w:rPr>
          <w:rFonts w:cs="Times New Roman"/>
          <w:noProof/>
        </w:rPr>
      </w:pPr>
      <w:r w:rsidRPr="003426E1">
        <w:rPr>
          <w:rFonts w:cs="Times New Roman"/>
          <w:noProof/>
          <w:szCs w:val="24"/>
        </w:rPr>
        <w:lastRenderedPageBreak/>
        <w:t xml:space="preserve">Sudlow, C., Gallacher, J., Allen, N., Beral, V., Burton, P., Danesh, J., et al. (2015). UK Biobank: An Open Access Resource for Identifying the Causes of a Wide Range of Complex Diseases of Middle and Old Age. </w:t>
      </w:r>
      <w:r w:rsidRPr="003426E1">
        <w:rPr>
          <w:rFonts w:cs="Times New Roman"/>
          <w:i/>
          <w:iCs/>
          <w:noProof/>
          <w:szCs w:val="24"/>
        </w:rPr>
        <w:t>PLoS Med.</w:t>
      </w:r>
      <w:r w:rsidRPr="003426E1">
        <w:rPr>
          <w:rFonts w:cs="Times New Roman"/>
          <w:noProof/>
          <w:szCs w:val="24"/>
        </w:rPr>
        <w:t xml:space="preserve"> 12. doi:10.1371/journal.pmed.1001779.</w:t>
      </w:r>
    </w:p>
    <w:p w14:paraId="7B65BC41" w14:textId="07216433" w:rsidR="00DE23E8" w:rsidRPr="001549D3" w:rsidRDefault="003426E1" w:rsidP="00654E8F">
      <w:pPr>
        <w:spacing w:before="240"/>
      </w:pPr>
      <w:r>
        <w:fldChar w:fldCharType="end"/>
      </w:r>
    </w:p>
    <w:sectPr w:rsidR="00DE23E8" w:rsidRPr="001549D3"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4FDB2" w14:textId="77777777" w:rsidR="00D060CF" w:rsidRDefault="00D060CF" w:rsidP="00117666">
      <w:pPr>
        <w:spacing w:after="0"/>
      </w:pPr>
      <w:r>
        <w:separator/>
      </w:r>
    </w:p>
  </w:endnote>
  <w:endnote w:type="continuationSeparator" w:id="0">
    <w:p w14:paraId="14E0830A" w14:textId="77777777" w:rsidR="00D060CF" w:rsidRDefault="00D060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09C91" w14:textId="77777777" w:rsidR="00D060CF" w:rsidRDefault="00D060CF" w:rsidP="00117666">
      <w:pPr>
        <w:spacing w:after="0"/>
      </w:pPr>
      <w:r>
        <w:separator/>
      </w:r>
    </w:p>
  </w:footnote>
  <w:footnote w:type="continuationSeparator" w:id="0">
    <w:p w14:paraId="5BACC2C0" w14:textId="77777777" w:rsidR="00D060CF" w:rsidRDefault="00D060C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92677856">
    <w:abstractNumId w:val="0"/>
  </w:num>
  <w:num w:numId="2" w16cid:durableId="499543255">
    <w:abstractNumId w:val="4"/>
  </w:num>
  <w:num w:numId="3" w16cid:durableId="1034036307">
    <w:abstractNumId w:val="1"/>
  </w:num>
  <w:num w:numId="4" w16cid:durableId="1670908715">
    <w:abstractNumId w:val="5"/>
  </w:num>
  <w:num w:numId="5" w16cid:durableId="19562496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12829621">
    <w:abstractNumId w:val="3"/>
  </w:num>
  <w:num w:numId="7" w16cid:durableId="142622559">
    <w:abstractNumId w:val="6"/>
  </w:num>
  <w:num w:numId="8" w16cid:durableId="930703560">
    <w:abstractNumId w:val="6"/>
  </w:num>
  <w:num w:numId="9" w16cid:durableId="1920288399">
    <w:abstractNumId w:val="6"/>
  </w:num>
  <w:num w:numId="10" w16cid:durableId="249124736">
    <w:abstractNumId w:val="6"/>
  </w:num>
  <w:num w:numId="11" w16cid:durableId="1261258526">
    <w:abstractNumId w:val="6"/>
  </w:num>
  <w:num w:numId="12" w16cid:durableId="1918048703">
    <w:abstractNumId w:val="6"/>
  </w:num>
  <w:num w:numId="13" w16cid:durableId="1482194630">
    <w:abstractNumId w:val="3"/>
  </w:num>
  <w:num w:numId="14" w16cid:durableId="497228460">
    <w:abstractNumId w:val="2"/>
  </w:num>
  <w:num w:numId="15" w16cid:durableId="13776366">
    <w:abstractNumId w:val="2"/>
  </w:num>
  <w:num w:numId="16" w16cid:durableId="1790857712">
    <w:abstractNumId w:val="2"/>
  </w:num>
  <w:num w:numId="17" w16cid:durableId="1496261304">
    <w:abstractNumId w:val="2"/>
  </w:num>
  <w:num w:numId="18" w16cid:durableId="81486838">
    <w:abstractNumId w:val="2"/>
  </w:num>
  <w:num w:numId="19" w16cid:durableId="2065732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20EB"/>
    <w:rsid w:val="0001436A"/>
    <w:rsid w:val="00014727"/>
    <w:rsid w:val="00034304"/>
    <w:rsid w:val="00035434"/>
    <w:rsid w:val="00052A14"/>
    <w:rsid w:val="00077D53"/>
    <w:rsid w:val="000A5710"/>
    <w:rsid w:val="00105FD9"/>
    <w:rsid w:val="00117666"/>
    <w:rsid w:val="001549D3"/>
    <w:rsid w:val="00160065"/>
    <w:rsid w:val="00177D84"/>
    <w:rsid w:val="00267D18"/>
    <w:rsid w:val="00274347"/>
    <w:rsid w:val="002868E2"/>
    <w:rsid w:val="002869C3"/>
    <w:rsid w:val="002936E4"/>
    <w:rsid w:val="002A740F"/>
    <w:rsid w:val="002B4A57"/>
    <w:rsid w:val="002C74CA"/>
    <w:rsid w:val="003123F4"/>
    <w:rsid w:val="003426E1"/>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8E4641"/>
    <w:rsid w:val="00913502"/>
    <w:rsid w:val="009151AA"/>
    <w:rsid w:val="0093429D"/>
    <w:rsid w:val="00943573"/>
    <w:rsid w:val="00964134"/>
    <w:rsid w:val="00964B1D"/>
    <w:rsid w:val="00970F7D"/>
    <w:rsid w:val="00994A3D"/>
    <w:rsid w:val="009C2B12"/>
    <w:rsid w:val="00A174D9"/>
    <w:rsid w:val="00AA4D24"/>
    <w:rsid w:val="00AA550E"/>
    <w:rsid w:val="00AB6715"/>
    <w:rsid w:val="00B1671E"/>
    <w:rsid w:val="00B25EB8"/>
    <w:rsid w:val="00B37F4D"/>
    <w:rsid w:val="00BE15BC"/>
    <w:rsid w:val="00C06D84"/>
    <w:rsid w:val="00C52A7B"/>
    <w:rsid w:val="00C56BAF"/>
    <w:rsid w:val="00C679AA"/>
    <w:rsid w:val="00C75972"/>
    <w:rsid w:val="00CD066B"/>
    <w:rsid w:val="00CE4FEE"/>
    <w:rsid w:val="00D060CF"/>
    <w:rsid w:val="00D55D73"/>
    <w:rsid w:val="00DB59C3"/>
    <w:rsid w:val="00DC259A"/>
    <w:rsid w:val="00DE23E8"/>
    <w:rsid w:val="00E35F60"/>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727"/>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ar"/>
    <w:uiPriority w:val="2"/>
    <w:qFormat/>
    <w:rsid w:val="00AB6715"/>
    <w:pPr>
      <w:numPr>
        <w:ilvl w:val="1"/>
      </w:numPr>
      <w:spacing w:after="200"/>
      <w:outlineLvl w:val="1"/>
    </w:pPr>
  </w:style>
  <w:style w:type="paragraph" w:styleId="Ttulo3">
    <w:name w:val="heading 3"/>
    <w:basedOn w:val="Normal"/>
    <w:next w:val="Normal"/>
    <w:link w:val="Ttulo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2"/>
    <w:qFormat/>
    <w:rsid w:val="00AB6715"/>
    <w:pPr>
      <w:numPr>
        <w:ilvl w:val="3"/>
      </w:numPr>
      <w:outlineLvl w:val="3"/>
    </w:pPr>
    <w:rPr>
      <w:iCs/>
    </w:rPr>
  </w:style>
  <w:style w:type="paragraph" w:styleId="Ttulo5">
    <w:name w:val="heading 5"/>
    <w:basedOn w:val="Ttulo4"/>
    <w:next w:val="Normal"/>
    <w:link w:val="Ttulo5Car"/>
    <w:uiPriority w:val="2"/>
    <w:qFormat/>
    <w:rsid w:val="00AB6715"/>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99"/>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semiHidden/>
    <w:unhideWhenUsed/>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Descripcin">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rsid w:val="00AB6715"/>
    <w:rPr>
      <w:sz w:val="16"/>
      <w:szCs w:val="16"/>
    </w:rPr>
  </w:style>
  <w:style w:type="paragraph" w:styleId="Textocomentario">
    <w:name w:val="annotation text"/>
    <w:basedOn w:val="Normal"/>
    <w:link w:val="TextocomentarioCar"/>
    <w:uiPriority w:val="99"/>
    <w:semiHidden/>
    <w:unhideWhenUsed/>
    <w:rsid w:val="00AB6715"/>
    <w:rPr>
      <w:sz w:val="20"/>
      <w:szCs w:val="20"/>
    </w:rPr>
  </w:style>
  <w:style w:type="character" w:customStyle="1" w:styleId="TextocomentarioCar">
    <w:name w:val="Texto comentario Car"/>
    <w:basedOn w:val="Fuentedeprrafopredeter"/>
    <w:link w:val="Textocomentario"/>
    <w:uiPriority w:val="99"/>
    <w:semiHidden/>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B6715"/>
    <w:rPr>
      <w:b/>
      <w:bCs/>
    </w:rPr>
  </w:style>
  <w:style w:type="character" w:customStyle="1" w:styleId="AsuntodelcomentarioCar">
    <w:name w:val="Asunto del comentario Car"/>
    <w:basedOn w:val="TextocomentarioCar"/>
    <w:link w:val="Asuntodelcomentario"/>
    <w:uiPriority w:val="99"/>
    <w:semiHidden/>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uiPriority w:val="99"/>
    <w:semiHidden/>
    <w:unhideWhenUsed/>
    <w:rsid w:val="00AB6715"/>
    <w:pPr>
      <w:spacing w:after="0"/>
    </w:pPr>
    <w:rPr>
      <w:sz w:val="20"/>
      <w:szCs w:val="20"/>
    </w:rPr>
  </w:style>
  <w:style w:type="character" w:customStyle="1" w:styleId="TextonotapieCar">
    <w:name w:val="Texto nota pie Car"/>
    <w:basedOn w:val="Fuentedeprrafopredeter"/>
    <w:link w:val="Textonotapie"/>
    <w:uiPriority w:val="99"/>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rsid w:val="00AB6715"/>
  </w:style>
  <w:style w:type="character" w:customStyle="1" w:styleId="Ttulo3Car">
    <w:name w:val="Título 3 Car"/>
    <w:basedOn w:val="Fuentedeprrafopredeter"/>
    <w:link w:val="Ttulo3"/>
    <w:uiPriority w:val="2"/>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2"/>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19</TotalTime>
  <Pages>11</Pages>
  <Words>19990</Words>
  <Characters>109947</Characters>
  <Application>Microsoft Office Word</Application>
  <DocSecurity>0</DocSecurity>
  <Lines>916</Lines>
  <Paragraphs>259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Jara Cárcel Márquez</cp:lastModifiedBy>
  <cp:revision>6</cp:revision>
  <cp:lastPrinted>2013-10-03T12:51:00Z</cp:lastPrinted>
  <dcterms:created xsi:type="dcterms:W3CDTF">2022-05-02T16:26:00Z</dcterms:created>
  <dcterms:modified xsi:type="dcterms:W3CDTF">2022-06-03T09:48:00Z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http://www.zotero.org/styles/annals-of-neurology</vt:lpwstr>
  </property>
  <property fmtid="{D5CDD505-2E9C-101B-9397-08002B2CF9AE}" pid="7" name="Mendeley Recent Style Name 2_1">
    <vt:lpwstr>Annals of Neurology</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http://www.zotero.org/styles/frontiers</vt:lpwstr>
  </property>
  <property fmtid="{D5CDD505-2E9C-101B-9397-08002B2CF9AE}" pid="11" name="Mendeley Recent Style Name 4_1">
    <vt:lpwstr>Frontiers journals</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http://www.zotero.org/styles/international-journal-of-molecular-sciences</vt:lpwstr>
  </property>
  <property fmtid="{D5CDD505-2E9C-101B-9397-08002B2CF9AE}" pid="15" name="Mendeley Recent Style Name 6_1">
    <vt:lpwstr>International Journal of Molecular Sciences</vt:lpwstr>
  </property>
  <property fmtid="{D5CDD505-2E9C-101B-9397-08002B2CF9AE}" pid="16" name="Mendeley Recent Style Id 7_1">
    <vt:lpwstr>http://www.zotero.org/styles/neurology</vt:lpwstr>
  </property>
  <property fmtid="{D5CDD505-2E9C-101B-9397-08002B2CF9AE}" pid="17" name="Mendeley Recent Style Name 7_1">
    <vt:lpwstr>Neurology</vt:lpwstr>
  </property>
  <property fmtid="{D5CDD505-2E9C-101B-9397-08002B2CF9AE}" pid="18" name="Mendeley Recent Style Id 8_1">
    <vt:lpwstr>http://www.zotero.org/styles/plos-genetics</vt:lpwstr>
  </property>
  <property fmtid="{D5CDD505-2E9C-101B-9397-08002B2CF9AE}" pid="19" name="Mendeley Recent Style Name 8_1">
    <vt:lpwstr>PLOS Genetics</vt:lpwstr>
  </property>
  <property fmtid="{D5CDD505-2E9C-101B-9397-08002B2CF9AE}" pid="20" name="Mendeley Recent Style Id 9_1">
    <vt:lpwstr>http://www.zotero.org/styles/the-american-journal-of-human-genetics</vt:lpwstr>
  </property>
  <property fmtid="{D5CDD505-2E9C-101B-9397-08002B2CF9AE}" pid="21" name="Mendeley Recent Style Name 9_1">
    <vt:lpwstr>The American Journal of Human Genetics</vt:lpwstr>
  </property>
  <property fmtid="{D5CDD505-2E9C-101B-9397-08002B2CF9AE}" pid="22" name="Mendeley Document_1">
    <vt:lpwstr>True</vt:lpwstr>
  </property>
  <property fmtid="{D5CDD505-2E9C-101B-9397-08002B2CF9AE}" pid="23" name="Mendeley Unique User Id_1">
    <vt:lpwstr>e21b2a5d-cd30-30e4-8f0d-86e65069d4dd</vt:lpwstr>
  </property>
  <property fmtid="{D5CDD505-2E9C-101B-9397-08002B2CF9AE}" pid="24" name="Mendeley Citation Style_1">
    <vt:lpwstr>http://www.zotero.org/styles/frontiers</vt:lpwstr>
  </property>
</Properties>
</file>