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714" w:rsidRPr="002B3714" w:rsidRDefault="002B3714" w:rsidP="00C30BDC">
      <w:pPr>
        <w:autoSpaceDE w:val="0"/>
        <w:autoSpaceDN w:val="0"/>
        <w:adjustRightInd w:val="0"/>
        <w:spacing w:after="0" w:line="480" w:lineRule="auto"/>
        <w:jc w:val="both"/>
        <w:rPr>
          <w:rFonts w:ascii="Times New Roman" w:hAnsi="Times New Roman" w:cs="Times New Roman"/>
          <w:b/>
          <w:sz w:val="24"/>
          <w:szCs w:val="24"/>
          <w:lang w:val="en-US"/>
        </w:rPr>
      </w:pPr>
      <w:r w:rsidRPr="002B3714">
        <w:rPr>
          <w:rFonts w:ascii="Times New Roman" w:hAnsi="Times New Roman" w:cs="Times New Roman"/>
          <w:b/>
          <w:sz w:val="24"/>
          <w:szCs w:val="24"/>
          <w:lang w:val="en-US"/>
        </w:rPr>
        <w:t>Balancing procedure</w:t>
      </w:r>
    </w:p>
    <w:p w:rsidR="00454025" w:rsidRPr="00454025" w:rsidRDefault="00454025" w:rsidP="00454025">
      <w:pPr>
        <w:autoSpaceDE w:val="0"/>
        <w:autoSpaceDN w:val="0"/>
        <w:adjustRightInd w:val="0"/>
        <w:spacing w:after="0" w:line="480" w:lineRule="auto"/>
        <w:jc w:val="both"/>
        <w:rPr>
          <w:rFonts w:ascii="Times New Roman" w:eastAsia="Candida-Roman" w:hAnsi="Times New Roman"/>
          <w:color w:val="1B1C20"/>
          <w:sz w:val="24"/>
          <w:szCs w:val="24"/>
          <w:lang w:val="en-US"/>
        </w:rPr>
      </w:pPr>
      <w:r w:rsidRPr="00454025">
        <w:rPr>
          <w:rFonts w:ascii="Times New Roman" w:hAnsi="Times New Roman"/>
          <w:sz w:val="24"/>
          <w:szCs w:val="24"/>
          <w:lang w:val="en-US"/>
        </w:rPr>
        <w:t xml:space="preserve">Model balancing was carried out manually following a top-down strategy (Fig.1). For all modeled groups, Ecotrophic efficiencies were the missing parameter and were estimated by </w:t>
      </w:r>
      <w:proofErr w:type="spellStart"/>
      <w:r w:rsidRPr="00454025">
        <w:rPr>
          <w:rFonts w:ascii="Times New Roman" w:hAnsi="Times New Roman"/>
          <w:sz w:val="24"/>
          <w:szCs w:val="24"/>
          <w:lang w:val="en-US"/>
        </w:rPr>
        <w:t>EwE</w:t>
      </w:r>
      <w:proofErr w:type="spellEnd"/>
      <w:r w:rsidRPr="00454025">
        <w:rPr>
          <w:rFonts w:ascii="Times New Roman" w:hAnsi="Times New Roman"/>
          <w:sz w:val="24"/>
          <w:szCs w:val="24"/>
          <w:lang w:val="en-US"/>
        </w:rPr>
        <w:t xml:space="preserve"> while Biomass, (P/B), and (Q/B) were inputs to the model. One exception concerned the “Pelagic ichthyophagous fishes” group due to the absence of reliable biomass estimations. In this case, we used an input value of 0.47 for EE, following recommendations from Christensen et al. (2005), and we let the model estimate the biomass. In the same way, P/B values for Norway lobster, Bivalves and gastropods and other benthic invertebrates (F.G. 31, 37 and 38, respectively) were estimated by the model. When attempting to balance the model, many of the Ecotrophic Efficiencies were greater than 1 meaning that more of the group was being consumed than produced, and thus had to be reduced. For that reason, inconsistent values were slightly modified following the criteria given by Christensen et al. (2008). </w:t>
      </w:r>
    </w:p>
    <w:p w:rsidR="00454025" w:rsidRPr="00454025" w:rsidRDefault="00454025" w:rsidP="00454025">
      <w:pPr>
        <w:autoSpaceDE w:val="0"/>
        <w:autoSpaceDN w:val="0"/>
        <w:adjustRightInd w:val="0"/>
        <w:spacing w:after="0" w:line="480" w:lineRule="auto"/>
        <w:jc w:val="both"/>
        <w:rPr>
          <w:rFonts w:ascii="Times New Roman" w:eastAsia="Candida-Roman" w:hAnsi="Times New Roman"/>
          <w:color w:val="1B1C20"/>
          <w:sz w:val="24"/>
          <w:szCs w:val="24"/>
          <w:lang w:val="en-US"/>
        </w:rPr>
      </w:pPr>
      <w:r w:rsidRPr="00454025">
        <w:rPr>
          <w:rFonts w:ascii="Times New Roman" w:hAnsi="Times New Roman"/>
          <w:sz w:val="24"/>
          <w:szCs w:val="24"/>
          <w:lang w:val="en-US"/>
        </w:rPr>
        <w:t xml:space="preserve">Biomasses were the first parameters modified during model balancing due to they were obtained from scientific surveys, where the sampling method, specifically, the swept-area method (i.e., estimation of biomass per area sampled by trawling), has been reported to underestimate biomass of the sampled species (Sánchez and </w:t>
      </w:r>
      <w:proofErr w:type="spellStart"/>
      <w:r w:rsidRPr="00454025">
        <w:rPr>
          <w:rFonts w:ascii="Times New Roman" w:hAnsi="Times New Roman"/>
          <w:sz w:val="24"/>
          <w:szCs w:val="24"/>
          <w:lang w:val="en-US"/>
        </w:rPr>
        <w:t>Olaso</w:t>
      </w:r>
      <w:proofErr w:type="spellEnd"/>
      <w:r w:rsidRPr="00454025">
        <w:rPr>
          <w:rFonts w:ascii="Times New Roman" w:hAnsi="Times New Roman"/>
          <w:sz w:val="24"/>
          <w:szCs w:val="24"/>
          <w:lang w:val="en-US"/>
        </w:rPr>
        <w:t xml:space="preserve">, 2004, </w:t>
      </w:r>
      <w:proofErr w:type="spellStart"/>
      <w:r w:rsidRPr="00454025">
        <w:rPr>
          <w:rFonts w:ascii="Times New Roman" w:hAnsi="Times New Roman"/>
          <w:sz w:val="24"/>
          <w:szCs w:val="24"/>
          <w:lang w:val="en-US"/>
        </w:rPr>
        <w:t>Tsagarakis</w:t>
      </w:r>
      <w:proofErr w:type="spellEnd"/>
      <w:r w:rsidRPr="00454025">
        <w:rPr>
          <w:rFonts w:ascii="Times New Roman" w:hAnsi="Times New Roman"/>
          <w:sz w:val="24"/>
          <w:szCs w:val="24"/>
          <w:lang w:val="en-US"/>
        </w:rPr>
        <w:t xml:space="preserve"> et al., 2010, Torres et al., 2013). Thus, their biomass input values were based on a guesstimate to reach the mass balanced ecosystem model requirements. </w:t>
      </w:r>
      <w:r w:rsidRPr="00454025">
        <w:rPr>
          <w:rFonts w:ascii="Times New Roman" w:eastAsia="Candida-Roman" w:hAnsi="Times New Roman"/>
          <w:color w:val="1B1C20"/>
          <w:sz w:val="24"/>
          <w:szCs w:val="24"/>
          <w:lang w:val="en-US"/>
        </w:rPr>
        <w:t>The biomasses of these groups were indeed too low and had to be increased (</w:t>
      </w:r>
      <w:r w:rsidRPr="00454025">
        <w:rPr>
          <w:rFonts w:ascii="Times New Roman" w:hAnsi="Times New Roman"/>
          <w:sz w:val="24"/>
          <w:szCs w:val="24"/>
          <w:lang w:val="en-US"/>
        </w:rPr>
        <w:t xml:space="preserve">e.g., F.G. 37. </w:t>
      </w:r>
      <w:proofErr w:type="gramStart"/>
      <w:r w:rsidRPr="00454025">
        <w:rPr>
          <w:rFonts w:ascii="Times New Roman" w:hAnsi="Times New Roman"/>
          <w:sz w:val="24"/>
          <w:szCs w:val="24"/>
          <w:lang w:val="en-US"/>
        </w:rPr>
        <w:t>F.G. 18, F.G. 21, F.G. 33, F.G.38, F.G.16 and F.G. 15</w:t>
      </w:r>
      <w:r w:rsidRPr="00454025">
        <w:rPr>
          <w:rFonts w:ascii="Times New Roman" w:eastAsia="Candida-Roman" w:hAnsi="Times New Roman"/>
          <w:color w:val="1B1C20"/>
          <w:sz w:val="24"/>
          <w:szCs w:val="24"/>
          <w:lang w:val="en-US"/>
        </w:rPr>
        <w:t>).</w:t>
      </w:r>
      <w:proofErr w:type="gramEnd"/>
      <w:r w:rsidRPr="00454025">
        <w:rPr>
          <w:rFonts w:ascii="Times New Roman" w:eastAsia="Candida-Roman" w:hAnsi="Times New Roman"/>
          <w:color w:val="1B1C20"/>
          <w:sz w:val="24"/>
          <w:szCs w:val="24"/>
          <w:lang w:val="en-US"/>
        </w:rPr>
        <w:t xml:space="preserve"> This is a common problem in </w:t>
      </w:r>
      <w:proofErr w:type="spellStart"/>
      <w:r w:rsidRPr="00454025">
        <w:rPr>
          <w:rFonts w:ascii="Times New Roman" w:eastAsia="Candida-Roman" w:hAnsi="Times New Roman"/>
          <w:color w:val="1B1C20"/>
          <w:sz w:val="24"/>
          <w:szCs w:val="24"/>
          <w:lang w:val="en-US"/>
        </w:rPr>
        <w:t>prebalanced</w:t>
      </w:r>
      <w:proofErr w:type="spellEnd"/>
      <w:r w:rsidRPr="00454025">
        <w:rPr>
          <w:rFonts w:ascii="Times New Roman" w:eastAsia="Candida-Roman" w:hAnsi="Times New Roman"/>
          <w:color w:val="1B1C20"/>
          <w:sz w:val="24"/>
          <w:szCs w:val="24"/>
          <w:lang w:val="en-US"/>
        </w:rPr>
        <w:t xml:space="preserve"> </w:t>
      </w:r>
      <w:proofErr w:type="spellStart"/>
      <w:r w:rsidRPr="00454025">
        <w:rPr>
          <w:rFonts w:ascii="Times New Roman" w:eastAsia="Candida-Roman" w:hAnsi="Times New Roman"/>
          <w:color w:val="1B1C20"/>
          <w:sz w:val="24"/>
          <w:szCs w:val="24"/>
          <w:lang w:val="en-US"/>
        </w:rPr>
        <w:t>EwE</w:t>
      </w:r>
      <w:proofErr w:type="spellEnd"/>
      <w:r w:rsidRPr="00454025">
        <w:rPr>
          <w:rFonts w:ascii="Times New Roman" w:eastAsia="Candida-Roman" w:hAnsi="Times New Roman"/>
          <w:color w:val="1B1C20"/>
          <w:sz w:val="24"/>
          <w:szCs w:val="24"/>
          <w:lang w:val="en-US"/>
        </w:rPr>
        <w:t xml:space="preserve"> models, where invertebrate biomass estimates are frequently too low to support predation mortality (Christensen et al. 2008). In the same way, P/B values were modified according to these criteria. Also and to complete the final mass balance </w:t>
      </w:r>
      <w:r w:rsidRPr="00454025">
        <w:rPr>
          <w:rFonts w:ascii="Times New Roman" w:eastAsia="Candida-Roman" w:hAnsi="Times New Roman"/>
          <w:color w:val="1B1C20"/>
          <w:sz w:val="24"/>
          <w:szCs w:val="24"/>
          <w:lang w:val="en-US"/>
        </w:rPr>
        <w:lastRenderedPageBreak/>
        <w:t>model, we adjusted the diet matrix as a data source with some uncertainty, especially for those groups for which diet information was not from the modeled area.</w:t>
      </w:r>
    </w:p>
    <w:p w:rsidR="00454025" w:rsidRPr="00454025" w:rsidRDefault="00454025" w:rsidP="00454025">
      <w:pPr>
        <w:spacing w:after="0" w:line="480" w:lineRule="auto"/>
        <w:jc w:val="both"/>
        <w:rPr>
          <w:rFonts w:ascii="Times New Roman" w:hAnsi="Times New Roman"/>
          <w:sz w:val="24"/>
          <w:szCs w:val="24"/>
          <w:lang w:val="en-US"/>
        </w:rPr>
      </w:pPr>
      <w:r w:rsidRPr="00454025">
        <w:rPr>
          <w:rFonts w:ascii="Times New Roman" w:hAnsi="Times New Roman"/>
          <w:sz w:val="24"/>
          <w:szCs w:val="24"/>
          <w:lang w:val="en-US"/>
        </w:rPr>
        <w:t xml:space="preserve">The resulting input data were tested through </w:t>
      </w:r>
      <w:r w:rsidRPr="00454025">
        <w:rPr>
          <w:rFonts w:ascii="Times New Roman" w:eastAsia="Candida-Roman" w:hAnsi="Times New Roman"/>
          <w:color w:val="1B1C20"/>
          <w:sz w:val="24"/>
          <w:szCs w:val="24"/>
          <w:lang w:val="en-US"/>
        </w:rPr>
        <w:t>ecological and fishery principles used in conjunction with PREBAL diagnostics to identify issues of model structure and data quality before network model balancing</w:t>
      </w:r>
      <w:r w:rsidRPr="00454025">
        <w:rPr>
          <w:rFonts w:ascii="Times New Roman" w:hAnsi="Times New Roman"/>
          <w:sz w:val="24"/>
          <w:szCs w:val="24"/>
          <w:lang w:val="en-US"/>
        </w:rPr>
        <w:t xml:space="preserve">. Hence, following Link (2010), a set of diagnostics, i.e., biomasses, biomass ratios, vital rates, vital rate ratios, total production, and total removals (and slopes thereof) across the taxa and trophic levels could be tested through graphical representation. Regarding biomasses, results showed that Worms (F.G 35), Phytoplankton (F.G. 42), </w:t>
      </w:r>
      <w:proofErr w:type="spellStart"/>
      <w:r w:rsidRPr="00454025">
        <w:rPr>
          <w:rFonts w:ascii="Times New Roman" w:hAnsi="Times New Roman"/>
          <w:sz w:val="24"/>
          <w:szCs w:val="24"/>
          <w:lang w:val="en-US"/>
        </w:rPr>
        <w:t>Microzooplankton</w:t>
      </w:r>
      <w:proofErr w:type="spellEnd"/>
      <w:r w:rsidRPr="00454025">
        <w:rPr>
          <w:rFonts w:ascii="Times New Roman" w:hAnsi="Times New Roman"/>
          <w:sz w:val="24"/>
          <w:szCs w:val="24"/>
          <w:lang w:val="en-US"/>
        </w:rPr>
        <w:t xml:space="preserve"> (F.G. 39), Sardine (F.G. 13), Bivalves and gastropods (F.G. 37) could potentially be overestimated (Fig.1) while Flatfishes (F.G 16), Mullets (F.G 11), </w:t>
      </w:r>
      <w:proofErr w:type="spellStart"/>
      <w:r w:rsidRPr="00454025">
        <w:rPr>
          <w:rFonts w:ascii="Times New Roman" w:hAnsi="Times New Roman"/>
          <w:sz w:val="24"/>
          <w:szCs w:val="24"/>
          <w:lang w:val="en-US"/>
        </w:rPr>
        <w:t>Sparids</w:t>
      </w:r>
      <w:proofErr w:type="spellEnd"/>
      <w:r w:rsidRPr="00454025">
        <w:rPr>
          <w:rFonts w:ascii="Times New Roman" w:hAnsi="Times New Roman"/>
          <w:sz w:val="24"/>
          <w:szCs w:val="24"/>
          <w:lang w:val="en-US"/>
        </w:rPr>
        <w:t xml:space="preserve"> (F.G 23), Benthic sharks (F.G 4), Octopuses (F.G 28), Blue and red shrimp (F.G 29) and Norway lobster (F.G 31) could be underestimated. As we mentioned at the beginning of the balancing procedure, the biomass estimations determined with the survey could generate this kind of uncertainty, therefore, some adjustments were necessary to balance the model.</w:t>
      </w:r>
    </w:p>
    <w:p w:rsidR="00436D87" w:rsidRPr="00454025" w:rsidRDefault="00454025" w:rsidP="00454025">
      <w:pPr>
        <w:spacing w:after="0" w:line="480" w:lineRule="auto"/>
        <w:jc w:val="both"/>
        <w:rPr>
          <w:rFonts w:ascii="Times New Roman" w:hAnsi="Times New Roman" w:cs="Times New Roman"/>
          <w:sz w:val="24"/>
          <w:szCs w:val="24"/>
          <w:lang w:val="en-US"/>
        </w:rPr>
      </w:pPr>
      <w:r w:rsidRPr="00454025">
        <w:rPr>
          <w:rFonts w:ascii="Times New Roman" w:hAnsi="Times New Roman"/>
          <w:sz w:val="24"/>
          <w:szCs w:val="24"/>
          <w:lang w:val="en-US"/>
        </w:rPr>
        <w:t xml:space="preserve">In addition, in the GoA model, the P/B ratios were low for all groups in general, except for Phytoplankton (F.G. 42) and </w:t>
      </w:r>
      <w:proofErr w:type="spellStart"/>
      <w:r w:rsidRPr="00454025">
        <w:rPr>
          <w:rFonts w:ascii="Times New Roman" w:hAnsi="Times New Roman"/>
          <w:sz w:val="24"/>
          <w:szCs w:val="24"/>
          <w:lang w:val="en-US"/>
        </w:rPr>
        <w:t>Microzooplankton</w:t>
      </w:r>
      <w:proofErr w:type="spellEnd"/>
      <w:r w:rsidRPr="00454025">
        <w:rPr>
          <w:rFonts w:ascii="Times New Roman" w:hAnsi="Times New Roman"/>
          <w:sz w:val="24"/>
          <w:szCs w:val="24"/>
          <w:lang w:val="en-US"/>
        </w:rPr>
        <w:t xml:space="preserve"> (F.G. 39). In the case of P/Q ratios, the highest values were detected for </w:t>
      </w:r>
      <w:proofErr w:type="spellStart"/>
      <w:r w:rsidRPr="00454025">
        <w:rPr>
          <w:rFonts w:ascii="Times New Roman" w:hAnsi="Times New Roman"/>
          <w:sz w:val="24"/>
          <w:szCs w:val="24"/>
          <w:lang w:val="en-US"/>
        </w:rPr>
        <w:t>Microzooplankton</w:t>
      </w:r>
      <w:proofErr w:type="spellEnd"/>
      <w:r w:rsidRPr="00454025">
        <w:rPr>
          <w:rFonts w:ascii="Times New Roman" w:hAnsi="Times New Roman"/>
          <w:sz w:val="24"/>
          <w:szCs w:val="24"/>
          <w:lang w:val="en-US"/>
        </w:rPr>
        <w:t xml:space="preserve"> (F.G. 39), </w:t>
      </w:r>
      <w:proofErr w:type="spellStart"/>
      <w:r w:rsidRPr="00454025">
        <w:rPr>
          <w:rFonts w:ascii="Times New Roman" w:hAnsi="Times New Roman"/>
          <w:sz w:val="24"/>
          <w:szCs w:val="24"/>
          <w:lang w:val="en-US"/>
        </w:rPr>
        <w:t>Suprabenthos</w:t>
      </w:r>
      <w:proofErr w:type="spellEnd"/>
      <w:r w:rsidRPr="00454025">
        <w:rPr>
          <w:rFonts w:ascii="Times New Roman" w:hAnsi="Times New Roman"/>
          <w:sz w:val="24"/>
          <w:szCs w:val="24"/>
          <w:lang w:val="en-US"/>
        </w:rPr>
        <w:t xml:space="preserve"> (F.G. 34), </w:t>
      </w:r>
      <w:proofErr w:type="spellStart"/>
      <w:r w:rsidRPr="00454025">
        <w:rPr>
          <w:rFonts w:ascii="Times New Roman" w:hAnsi="Times New Roman"/>
          <w:sz w:val="24"/>
          <w:szCs w:val="24"/>
          <w:lang w:val="en-US"/>
        </w:rPr>
        <w:t>Meso</w:t>
      </w:r>
      <w:proofErr w:type="spellEnd"/>
      <w:r w:rsidRPr="00454025">
        <w:rPr>
          <w:rFonts w:ascii="Times New Roman" w:hAnsi="Times New Roman"/>
          <w:sz w:val="24"/>
          <w:szCs w:val="24"/>
          <w:lang w:val="en-US"/>
        </w:rPr>
        <w:t xml:space="preserve">- and </w:t>
      </w:r>
      <w:proofErr w:type="spellStart"/>
      <w:r w:rsidRPr="00454025">
        <w:rPr>
          <w:rFonts w:ascii="Times New Roman" w:hAnsi="Times New Roman"/>
          <w:sz w:val="24"/>
          <w:szCs w:val="24"/>
          <w:lang w:val="en-US"/>
        </w:rPr>
        <w:t>macrozooplankton</w:t>
      </w:r>
      <w:proofErr w:type="spellEnd"/>
      <w:r w:rsidRPr="00454025">
        <w:rPr>
          <w:rFonts w:ascii="Times New Roman" w:hAnsi="Times New Roman"/>
          <w:sz w:val="24"/>
          <w:szCs w:val="24"/>
          <w:lang w:val="en-US"/>
        </w:rPr>
        <w:t xml:space="preserve"> (F.G. 40), Gelatinous plankton (F.G. 41) and Seabirds (F.G. 2).</w:t>
      </w:r>
    </w:p>
    <w:p w:rsidR="00EB59E1" w:rsidRDefault="00EB59E1" w:rsidP="0093121F">
      <w:pPr>
        <w:spacing w:after="0" w:line="480" w:lineRule="auto"/>
        <w:jc w:val="both"/>
        <w:rPr>
          <w:rFonts w:ascii="Times New Roman" w:hAnsi="Times New Roman" w:cs="Times New Roman"/>
          <w:sz w:val="24"/>
          <w:szCs w:val="24"/>
          <w:lang w:val="en-US"/>
        </w:rPr>
      </w:pPr>
      <w:r>
        <w:rPr>
          <w:noProof/>
          <w:lang w:eastAsia="es-ES"/>
        </w:rPr>
        <w:lastRenderedPageBreak/>
        <w:drawing>
          <wp:inline distT="0" distB="0" distL="0" distR="0" wp14:anchorId="36CABFAB" wp14:editId="1B27E641">
            <wp:extent cx="5400040"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00040" cy="3371850"/>
                    </a:xfrm>
                    <a:prstGeom prst="rect">
                      <a:avLst/>
                    </a:prstGeom>
                  </pic:spPr>
                </pic:pic>
              </a:graphicData>
            </a:graphic>
          </wp:inline>
        </w:drawing>
      </w:r>
    </w:p>
    <w:p w:rsidR="00810825" w:rsidRPr="00E56011" w:rsidRDefault="00E56011" w:rsidP="00E56011">
      <w:pPr>
        <w:autoSpaceDE w:val="0"/>
        <w:autoSpaceDN w:val="0"/>
        <w:adjustRightInd w:val="0"/>
        <w:spacing w:after="0" w:line="300" w:lineRule="auto"/>
        <w:jc w:val="both"/>
        <w:rPr>
          <w:rFonts w:ascii="Times New Roman" w:hAnsi="Times New Roman" w:cs="Times New Roman"/>
          <w:lang w:val="en-US"/>
        </w:rPr>
      </w:pPr>
      <w:proofErr w:type="gramStart"/>
      <w:r w:rsidRPr="00E56011">
        <w:rPr>
          <w:rFonts w:ascii="Times New Roman" w:hAnsi="Times New Roman" w:cs="Times New Roman"/>
          <w:b/>
          <w:lang w:val="en-US"/>
        </w:rPr>
        <w:t>Fig. 1</w:t>
      </w:r>
      <w:r w:rsidRPr="00E56011">
        <w:rPr>
          <w:rFonts w:ascii="Times New Roman" w:hAnsi="Times New Roman" w:cs="Times New Roman"/>
          <w:lang w:val="en-US"/>
        </w:rPr>
        <w:t>.</w:t>
      </w:r>
      <w:proofErr w:type="gramEnd"/>
      <w:r w:rsidRPr="00E56011">
        <w:rPr>
          <w:rFonts w:ascii="Times New Roman" w:hAnsi="Times New Roman" w:cs="Times New Roman"/>
          <w:lang w:val="en-US"/>
        </w:rPr>
        <w:t xml:space="preserve"> Results of the PREBAL an</w:t>
      </w:r>
      <w:r>
        <w:rPr>
          <w:rFonts w:ascii="Times New Roman" w:hAnsi="Times New Roman" w:cs="Times New Roman"/>
          <w:lang w:val="en-US"/>
        </w:rPr>
        <w:t>alysis regarding the trends of Biomass</w:t>
      </w:r>
      <w:r w:rsidRPr="00E56011">
        <w:rPr>
          <w:rFonts w:ascii="Times New Roman" w:hAnsi="Times New Roman" w:cs="Times New Roman"/>
          <w:lang w:val="en-US"/>
        </w:rPr>
        <w:t>, P</w:t>
      </w:r>
      <w:r>
        <w:rPr>
          <w:rFonts w:ascii="Times New Roman" w:hAnsi="Times New Roman" w:cs="Times New Roman"/>
          <w:lang w:val="en-US"/>
        </w:rPr>
        <w:t>roduction/Biomass,</w:t>
      </w:r>
      <w:r w:rsidRPr="00E56011">
        <w:rPr>
          <w:rFonts w:ascii="Times New Roman" w:hAnsi="Times New Roman" w:cs="Times New Roman"/>
          <w:lang w:val="en-US"/>
        </w:rPr>
        <w:t xml:space="preserve"> </w:t>
      </w:r>
      <w:r>
        <w:rPr>
          <w:rFonts w:ascii="Times New Roman" w:hAnsi="Times New Roman" w:cs="Times New Roman"/>
          <w:lang w:val="en-US"/>
        </w:rPr>
        <w:t>Consumption/Biomass</w:t>
      </w:r>
      <w:r w:rsidRPr="00E56011">
        <w:rPr>
          <w:rFonts w:ascii="Times New Roman" w:hAnsi="Times New Roman" w:cs="Times New Roman"/>
          <w:lang w:val="en-US"/>
        </w:rPr>
        <w:t xml:space="preserve"> </w:t>
      </w:r>
      <w:r>
        <w:rPr>
          <w:rFonts w:ascii="Times New Roman" w:hAnsi="Times New Roman" w:cs="Times New Roman"/>
          <w:lang w:val="en-US"/>
        </w:rPr>
        <w:t xml:space="preserve">and Production/Consumption </w:t>
      </w:r>
      <w:r w:rsidRPr="00E56011">
        <w:rPr>
          <w:rFonts w:ascii="Times New Roman" w:hAnsi="Times New Roman" w:cs="Times New Roman"/>
          <w:lang w:val="en-US"/>
        </w:rPr>
        <w:t>along the functional groups arranged by trophic level.</w:t>
      </w:r>
    </w:p>
    <w:p w:rsidR="00913616" w:rsidRDefault="00913616" w:rsidP="0093121F">
      <w:pPr>
        <w:spacing w:after="0" w:line="480" w:lineRule="auto"/>
        <w:jc w:val="both"/>
        <w:rPr>
          <w:rFonts w:ascii="Times New Roman" w:hAnsi="Times New Roman" w:cs="Times New Roman"/>
          <w:sz w:val="24"/>
          <w:szCs w:val="24"/>
          <w:lang w:val="en-US"/>
        </w:rPr>
      </w:pPr>
    </w:p>
    <w:p w:rsidR="0075128F" w:rsidRPr="0075128F" w:rsidRDefault="0075128F" w:rsidP="0075128F">
      <w:pPr>
        <w:rPr>
          <w:rFonts w:ascii="Times New Roman" w:hAnsi="Times New Roman"/>
          <w:b/>
          <w:sz w:val="24"/>
          <w:szCs w:val="24"/>
          <w:lang w:val="en-US"/>
        </w:rPr>
      </w:pPr>
      <w:r w:rsidRPr="0075128F">
        <w:rPr>
          <w:rFonts w:ascii="Times New Roman" w:hAnsi="Times New Roman"/>
          <w:b/>
          <w:sz w:val="24"/>
          <w:szCs w:val="24"/>
          <w:lang w:val="en-US"/>
        </w:rPr>
        <w:t>References</w:t>
      </w:r>
    </w:p>
    <w:p w:rsidR="0075128F" w:rsidRPr="0075128F" w:rsidRDefault="0075128F" w:rsidP="0075128F">
      <w:pPr>
        <w:spacing w:after="0" w:line="360" w:lineRule="auto"/>
        <w:jc w:val="both"/>
        <w:rPr>
          <w:rFonts w:ascii="Times New Roman" w:hAnsi="Times New Roman"/>
          <w:sz w:val="24"/>
          <w:szCs w:val="24"/>
          <w:lang w:val="en-US"/>
        </w:rPr>
      </w:pPr>
      <w:r w:rsidRPr="0075128F">
        <w:rPr>
          <w:rFonts w:ascii="Times New Roman" w:hAnsi="Times New Roman"/>
          <w:sz w:val="24"/>
          <w:szCs w:val="24"/>
          <w:lang w:val="en-US"/>
        </w:rPr>
        <w:t>Christensen, V., Walters, C., Pauly, D., 2005. Ecopath with Ecosim: A User’s Guide. Fisheries Centre, University of British Columbia, Vancouver, 154 pp.</w:t>
      </w:r>
    </w:p>
    <w:p w:rsidR="0075128F" w:rsidRPr="0075128F" w:rsidRDefault="0075128F" w:rsidP="0075128F">
      <w:pPr>
        <w:spacing w:after="0" w:line="360" w:lineRule="auto"/>
        <w:jc w:val="both"/>
        <w:rPr>
          <w:rFonts w:ascii="Times New Roman" w:hAnsi="Times New Roman"/>
          <w:sz w:val="24"/>
          <w:szCs w:val="24"/>
          <w:lang w:val="en-US"/>
        </w:rPr>
      </w:pPr>
      <w:r w:rsidRPr="0075128F">
        <w:rPr>
          <w:rFonts w:ascii="Times New Roman" w:hAnsi="Times New Roman"/>
          <w:sz w:val="24"/>
          <w:szCs w:val="24"/>
          <w:lang w:val="en-US"/>
        </w:rPr>
        <w:t>Christensen, V., Walters, C., Pauly, D., Forrest, R., 2008. Ecopath with Ecosim Version 6. User Guide - November 2008. Lenfest Ocean Futures Project 2008, 235 pp.</w:t>
      </w:r>
    </w:p>
    <w:p w:rsidR="0075128F" w:rsidRPr="0075128F" w:rsidRDefault="0075128F" w:rsidP="0075128F">
      <w:pPr>
        <w:spacing w:after="0" w:line="360" w:lineRule="auto"/>
        <w:contextualSpacing/>
        <w:jc w:val="both"/>
        <w:rPr>
          <w:rFonts w:ascii="Times New Roman" w:hAnsi="Times New Roman"/>
          <w:sz w:val="24"/>
          <w:szCs w:val="24"/>
          <w:lang w:val="en-US"/>
        </w:rPr>
      </w:pPr>
      <w:r w:rsidRPr="0075128F">
        <w:rPr>
          <w:rFonts w:ascii="Times New Roman" w:hAnsi="Times New Roman"/>
          <w:sz w:val="24"/>
          <w:szCs w:val="24"/>
          <w:lang w:val="en-US"/>
        </w:rPr>
        <w:t>Link, J.S., 2010. Adding rigor to ecological network models by evaluating a set of pre-balance diagnostics: A plea for PREBAL. Ecol. Model. 221, 1580–1591.</w:t>
      </w:r>
    </w:p>
    <w:p w:rsidR="0075128F" w:rsidRPr="0075128F" w:rsidRDefault="0075128F" w:rsidP="0075128F">
      <w:pPr>
        <w:spacing w:after="0" w:line="360" w:lineRule="auto"/>
        <w:jc w:val="both"/>
        <w:rPr>
          <w:rFonts w:ascii="Times New Roman" w:hAnsi="Times New Roman" w:cs="Times New Roman"/>
          <w:color w:val="2E414F"/>
          <w:sz w:val="24"/>
          <w:szCs w:val="24"/>
          <w:shd w:val="clear" w:color="auto" w:fill="FFFFFF"/>
          <w:lang w:val="en-US"/>
        </w:rPr>
      </w:pPr>
      <w:r w:rsidRPr="0075128F">
        <w:rPr>
          <w:rFonts w:ascii="Times New Roman" w:hAnsi="Times New Roman" w:cs="Times New Roman"/>
          <w:color w:val="2E414F"/>
          <w:sz w:val="24"/>
          <w:szCs w:val="24"/>
          <w:shd w:val="clear" w:color="auto" w:fill="FFFFFF"/>
          <w:lang w:val="en-US"/>
        </w:rPr>
        <w:t>Sanchez, F., Olaso, I., 2004. Effects of fisheries on the Cantabrian Sea shelf ecosystem. Ecol. Model. 172, 151–174.</w:t>
      </w:r>
    </w:p>
    <w:p w:rsidR="0075128F" w:rsidRPr="0075128F" w:rsidRDefault="0075128F" w:rsidP="0075128F">
      <w:pPr>
        <w:spacing w:after="0" w:line="360" w:lineRule="auto"/>
        <w:contextualSpacing/>
        <w:jc w:val="both"/>
        <w:rPr>
          <w:rFonts w:ascii="Times New Roman" w:hAnsi="Times New Roman"/>
          <w:sz w:val="24"/>
          <w:szCs w:val="24"/>
          <w:lang w:val="en-US"/>
        </w:rPr>
      </w:pPr>
      <w:r w:rsidRPr="0075128F">
        <w:rPr>
          <w:rFonts w:ascii="Times New Roman" w:hAnsi="Times New Roman"/>
          <w:sz w:val="24"/>
          <w:szCs w:val="24"/>
          <w:lang w:val="en-US"/>
        </w:rPr>
        <w:t>Torres, M.A., Coll, M., Heymans, J.J., Christensen, V., Sobrino, I., 2013. Food-web structure of and fishing impacts on the Gulf of Cadiz ecosystem (South-western Spain). Ecol. Model. 265, 26–44.</w:t>
      </w:r>
    </w:p>
    <w:p w:rsidR="0075128F" w:rsidRDefault="0075128F" w:rsidP="0075128F">
      <w:pPr>
        <w:spacing w:after="0" w:line="360" w:lineRule="auto"/>
        <w:jc w:val="both"/>
        <w:rPr>
          <w:rFonts w:ascii="Times New Roman" w:hAnsi="Times New Roman"/>
          <w:sz w:val="24"/>
          <w:szCs w:val="24"/>
        </w:rPr>
      </w:pPr>
      <w:r w:rsidRPr="0075128F">
        <w:rPr>
          <w:rFonts w:ascii="Times New Roman" w:hAnsi="Times New Roman"/>
          <w:sz w:val="24"/>
          <w:szCs w:val="24"/>
          <w:lang w:val="en-US"/>
        </w:rPr>
        <w:t xml:space="preserve">Tsagarakis, K., Coll, M., Giannoulaki, M., Somarakis, S., Papaconstantinou, C., Machias, A., 2010. </w:t>
      </w:r>
      <w:proofErr w:type="gramStart"/>
      <w:r w:rsidRPr="0075128F">
        <w:rPr>
          <w:rFonts w:ascii="Times New Roman" w:hAnsi="Times New Roman"/>
          <w:sz w:val="24"/>
          <w:szCs w:val="24"/>
          <w:lang w:val="en-US"/>
        </w:rPr>
        <w:t>Food-web traits of the North Aegean Sea ecosystem (Eastern Mediterranean) and comparison with other Mediterranean ecosystems.</w:t>
      </w:r>
      <w:proofErr w:type="gramEnd"/>
      <w:r w:rsidRPr="0075128F">
        <w:rPr>
          <w:rFonts w:ascii="Times New Roman" w:hAnsi="Times New Roman"/>
          <w:sz w:val="24"/>
          <w:szCs w:val="24"/>
          <w:lang w:val="en-US"/>
        </w:rPr>
        <w:t xml:space="preserve"> </w:t>
      </w:r>
      <w:proofErr w:type="spellStart"/>
      <w:r w:rsidRPr="00652BAA">
        <w:rPr>
          <w:rFonts w:ascii="Times New Roman" w:hAnsi="Times New Roman"/>
          <w:sz w:val="24"/>
          <w:szCs w:val="24"/>
        </w:rPr>
        <w:t>Estuar</w:t>
      </w:r>
      <w:proofErr w:type="spellEnd"/>
      <w:r w:rsidRPr="00652BAA">
        <w:rPr>
          <w:rFonts w:ascii="Times New Roman" w:hAnsi="Times New Roman"/>
          <w:sz w:val="24"/>
          <w:szCs w:val="24"/>
        </w:rPr>
        <w:t xml:space="preserve">. </w:t>
      </w:r>
      <w:proofErr w:type="spellStart"/>
      <w:r w:rsidRPr="00652BAA">
        <w:rPr>
          <w:rFonts w:ascii="Times New Roman" w:hAnsi="Times New Roman"/>
          <w:sz w:val="24"/>
          <w:szCs w:val="24"/>
        </w:rPr>
        <w:t>Coast</w:t>
      </w:r>
      <w:proofErr w:type="spellEnd"/>
      <w:r w:rsidRPr="00652BAA">
        <w:rPr>
          <w:rFonts w:ascii="Times New Roman" w:hAnsi="Times New Roman"/>
          <w:sz w:val="24"/>
          <w:szCs w:val="24"/>
        </w:rPr>
        <w:t xml:space="preserve">. </w:t>
      </w:r>
      <w:proofErr w:type="spellStart"/>
      <w:r w:rsidRPr="00652BAA">
        <w:rPr>
          <w:rFonts w:ascii="Times New Roman" w:hAnsi="Times New Roman"/>
          <w:sz w:val="24"/>
          <w:szCs w:val="24"/>
        </w:rPr>
        <w:t>Shelf</w:t>
      </w:r>
      <w:proofErr w:type="spellEnd"/>
      <w:r w:rsidRPr="00652BAA">
        <w:rPr>
          <w:rFonts w:ascii="Times New Roman" w:hAnsi="Times New Roman"/>
          <w:sz w:val="24"/>
          <w:szCs w:val="24"/>
        </w:rPr>
        <w:t xml:space="preserve"> </w:t>
      </w:r>
      <w:proofErr w:type="spellStart"/>
      <w:r w:rsidRPr="00652BAA">
        <w:rPr>
          <w:rFonts w:ascii="Times New Roman" w:hAnsi="Times New Roman"/>
          <w:sz w:val="24"/>
          <w:szCs w:val="24"/>
        </w:rPr>
        <w:t>Sci</w:t>
      </w:r>
      <w:proofErr w:type="spellEnd"/>
      <w:r w:rsidRPr="00652BAA">
        <w:rPr>
          <w:rFonts w:ascii="Times New Roman" w:hAnsi="Times New Roman"/>
          <w:sz w:val="24"/>
          <w:szCs w:val="24"/>
        </w:rPr>
        <w:t>. 88, 233–248</w:t>
      </w:r>
      <w:r>
        <w:rPr>
          <w:rFonts w:ascii="Times New Roman" w:hAnsi="Times New Roman"/>
          <w:sz w:val="24"/>
          <w:szCs w:val="24"/>
        </w:rPr>
        <w:t>.</w:t>
      </w:r>
    </w:p>
    <w:p w:rsidR="0038042E" w:rsidRPr="00F1541F" w:rsidRDefault="0038042E" w:rsidP="0093121F">
      <w:pPr>
        <w:spacing w:after="0" w:line="480" w:lineRule="auto"/>
        <w:jc w:val="both"/>
        <w:rPr>
          <w:rFonts w:ascii="Times New Roman" w:hAnsi="Times New Roman" w:cs="Times New Roman"/>
          <w:sz w:val="24"/>
          <w:szCs w:val="24"/>
          <w:lang w:val="en-US"/>
        </w:rPr>
      </w:pPr>
      <w:bookmarkStart w:id="0" w:name="_GoBack"/>
      <w:bookmarkEnd w:id="0"/>
    </w:p>
    <w:sectPr w:rsidR="0038042E" w:rsidRPr="00F154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ida-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xtTA0NzUxMzIxNbdU0lEKTi0uzszPAykwqwUAjEipAywAAAA="/>
  </w:docVars>
  <w:rsids>
    <w:rsidRoot w:val="00F1541F"/>
    <w:rsid w:val="00014519"/>
    <w:rsid w:val="00073785"/>
    <w:rsid w:val="001C27A6"/>
    <w:rsid w:val="002B3714"/>
    <w:rsid w:val="0031027A"/>
    <w:rsid w:val="0038042E"/>
    <w:rsid w:val="00436D87"/>
    <w:rsid w:val="00454025"/>
    <w:rsid w:val="00455FF1"/>
    <w:rsid w:val="004572F6"/>
    <w:rsid w:val="005958F0"/>
    <w:rsid w:val="005B65A2"/>
    <w:rsid w:val="005E6BB9"/>
    <w:rsid w:val="0075128F"/>
    <w:rsid w:val="00810825"/>
    <w:rsid w:val="00913616"/>
    <w:rsid w:val="0093121F"/>
    <w:rsid w:val="00957334"/>
    <w:rsid w:val="00A12B34"/>
    <w:rsid w:val="00A84BF0"/>
    <w:rsid w:val="00C30BDC"/>
    <w:rsid w:val="00C67E86"/>
    <w:rsid w:val="00CF593E"/>
    <w:rsid w:val="00DE04BD"/>
    <w:rsid w:val="00E20089"/>
    <w:rsid w:val="00E56011"/>
    <w:rsid w:val="00EB59E1"/>
    <w:rsid w:val="00F1541F"/>
    <w:rsid w:val="00F70400"/>
    <w:rsid w:val="00FE4A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38042E"/>
    <w:rPr>
      <w:sz w:val="16"/>
      <w:szCs w:val="16"/>
    </w:rPr>
  </w:style>
  <w:style w:type="paragraph" w:styleId="Textocomentario">
    <w:name w:val="annotation text"/>
    <w:basedOn w:val="Normal"/>
    <w:link w:val="TextocomentarioCar"/>
    <w:uiPriority w:val="99"/>
    <w:semiHidden/>
    <w:unhideWhenUsed/>
    <w:rsid w:val="003804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42E"/>
    <w:rPr>
      <w:sz w:val="20"/>
      <w:szCs w:val="20"/>
    </w:rPr>
  </w:style>
  <w:style w:type="paragraph" w:styleId="Asuntodelcomentario">
    <w:name w:val="annotation subject"/>
    <w:basedOn w:val="Textocomentario"/>
    <w:next w:val="Textocomentario"/>
    <w:link w:val="AsuntodelcomentarioCar"/>
    <w:uiPriority w:val="99"/>
    <w:semiHidden/>
    <w:unhideWhenUsed/>
    <w:rsid w:val="0038042E"/>
    <w:rPr>
      <w:b/>
      <w:bCs/>
    </w:rPr>
  </w:style>
  <w:style w:type="character" w:customStyle="1" w:styleId="AsuntodelcomentarioCar">
    <w:name w:val="Asunto del comentario Car"/>
    <w:basedOn w:val="TextocomentarioCar"/>
    <w:link w:val="Asuntodelcomentario"/>
    <w:uiPriority w:val="99"/>
    <w:semiHidden/>
    <w:rsid w:val="0038042E"/>
    <w:rPr>
      <w:b/>
      <w:bCs/>
      <w:sz w:val="20"/>
      <w:szCs w:val="20"/>
    </w:rPr>
  </w:style>
  <w:style w:type="paragraph" w:styleId="Textodeglobo">
    <w:name w:val="Balloon Text"/>
    <w:basedOn w:val="Normal"/>
    <w:link w:val="TextodegloboCar"/>
    <w:uiPriority w:val="99"/>
    <w:semiHidden/>
    <w:unhideWhenUsed/>
    <w:rsid w:val="003804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04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38042E"/>
    <w:rPr>
      <w:sz w:val="16"/>
      <w:szCs w:val="16"/>
    </w:rPr>
  </w:style>
  <w:style w:type="paragraph" w:styleId="Textocomentario">
    <w:name w:val="annotation text"/>
    <w:basedOn w:val="Normal"/>
    <w:link w:val="TextocomentarioCar"/>
    <w:uiPriority w:val="99"/>
    <w:semiHidden/>
    <w:unhideWhenUsed/>
    <w:rsid w:val="003804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42E"/>
    <w:rPr>
      <w:sz w:val="20"/>
      <w:szCs w:val="20"/>
    </w:rPr>
  </w:style>
  <w:style w:type="paragraph" w:styleId="Asuntodelcomentario">
    <w:name w:val="annotation subject"/>
    <w:basedOn w:val="Textocomentario"/>
    <w:next w:val="Textocomentario"/>
    <w:link w:val="AsuntodelcomentarioCar"/>
    <w:uiPriority w:val="99"/>
    <w:semiHidden/>
    <w:unhideWhenUsed/>
    <w:rsid w:val="0038042E"/>
    <w:rPr>
      <w:b/>
      <w:bCs/>
    </w:rPr>
  </w:style>
  <w:style w:type="character" w:customStyle="1" w:styleId="AsuntodelcomentarioCar">
    <w:name w:val="Asunto del comentario Car"/>
    <w:basedOn w:val="TextocomentarioCar"/>
    <w:link w:val="Asuntodelcomentario"/>
    <w:uiPriority w:val="99"/>
    <w:semiHidden/>
    <w:rsid w:val="0038042E"/>
    <w:rPr>
      <w:b/>
      <w:bCs/>
      <w:sz w:val="20"/>
      <w:szCs w:val="20"/>
    </w:rPr>
  </w:style>
  <w:style w:type="paragraph" w:styleId="Textodeglobo">
    <w:name w:val="Balloon Text"/>
    <w:basedOn w:val="Normal"/>
    <w:link w:val="TextodegloboCar"/>
    <w:uiPriority w:val="99"/>
    <w:semiHidden/>
    <w:unhideWhenUsed/>
    <w:rsid w:val="003804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04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4</Pages>
  <Words>737</Words>
  <Characters>4057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2020-09-13T20:17:00Z</dcterms:created>
  <dcterms:modified xsi:type="dcterms:W3CDTF">2020-12-22T10:49:00Z</dcterms:modified>
</cp:coreProperties>
</file>