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C6" w:rsidRPr="006763C6" w:rsidRDefault="006763C6" w:rsidP="006763C6">
      <w:pPr>
        <w:spacing w:line="480" w:lineRule="auto"/>
        <w:jc w:val="center"/>
        <w:rPr>
          <w:rFonts w:ascii="Times New Roman" w:hAnsi="Times New Roman" w:cs="Times New Roman"/>
          <w:b/>
          <w:sz w:val="36"/>
          <w:szCs w:val="24"/>
          <w:lang w:val="en-US"/>
        </w:rPr>
      </w:pPr>
      <w:bookmarkStart w:id="0" w:name="_GoBack"/>
      <w:bookmarkEnd w:id="0"/>
      <w:r w:rsidRPr="006763C6">
        <w:rPr>
          <w:rFonts w:ascii="Times New Roman" w:hAnsi="Times New Roman" w:cs="Times New Roman"/>
          <w:b/>
          <w:sz w:val="36"/>
          <w:szCs w:val="24"/>
          <w:lang w:val="en-US"/>
        </w:rPr>
        <w:t>Electronic Supplementary Material</w:t>
      </w:r>
    </w:p>
    <w:p w:rsidR="006763C6" w:rsidRDefault="006763C6" w:rsidP="006763C6">
      <w:pPr>
        <w:spacing w:line="480" w:lineRule="auto"/>
        <w:jc w:val="center"/>
        <w:rPr>
          <w:rFonts w:ascii="Times New Roman" w:hAnsi="Times New Roman" w:cs="Times New Roman"/>
          <w:b/>
          <w:sz w:val="24"/>
          <w:szCs w:val="24"/>
          <w:lang w:val="en-US"/>
        </w:rPr>
      </w:pPr>
    </w:p>
    <w:p w:rsidR="006763C6" w:rsidRPr="000A3409" w:rsidRDefault="006763C6" w:rsidP="006763C6">
      <w:pPr>
        <w:spacing w:line="480" w:lineRule="auto"/>
        <w:jc w:val="center"/>
        <w:rPr>
          <w:rFonts w:ascii="Times New Roman" w:hAnsi="Times New Roman" w:cs="Times New Roman"/>
          <w:b/>
          <w:sz w:val="24"/>
          <w:szCs w:val="24"/>
          <w:lang w:val="en-US"/>
        </w:rPr>
      </w:pPr>
      <w:r w:rsidRPr="000A3409">
        <w:rPr>
          <w:rFonts w:ascii="Times New Roman" w:hAnsi="Times New Roman" w:cs="Times New Roman"/>
          <w:b/>
          <w:sz w:val="24"/>
          <w:szCs w:val="24"/>
          <w:lang w:val="en-US"/>
        </w:rPr>
        <w:t>Biomarker responses</w:t>
      </w:r>
      <w:r>
        <w:rPr>
          <w:rFonts w:ascii="Times New Roman" w:hAnsi="Times New Roman" w:cs="Times New Roman"/>
          <w:b/>
          <w:sz w:val="24"/>
          <w:szCs w:val="24"/>
          <w:lang w:val="en-US"/>
        </w:rPr>
        <w:t xml:space="preserve"> and metabolism</w:t>
      </w:r>
      <w:r w:rsidRPr="000A3409">
        <w:rPr>
          <w:rFonts w:ascii="Times New Roman" w:hAnsi="Times New Roman" w:cs="Times New Roman"/>
          <w:b/>
          <w:sz w:val="24"/>
          <w:szCs w:val="24"/>
          <w:lang w:val="en-US"/>
        </w:rPr>
        <w:t xml:space="preserve"> in </w:t>
      </w:r>
      <w:proofErr w:type="spellStart"/>
      <w:r w:rsidRPr="000A3409">
        <w:rPr>
          <w:rFonts w:ascii="Times New Roman" w:hAnsi="Times New Roman" w:cs="Times New Roman"/>
          <w:b/>
          <w:i/>
          <w:iCs/>
          <w:sz w:val="24"/>
          <w:szCs w:val="24"/>
          <w:lang w:val="en-US"/>
        </w:rPr>
        <w:t>Lumbricus</w:t>
      </w:r>
      <w:proofErr w:type="spellEnd"/>
      <w:r w:rsidRPr="000A3409">
        <w:rPr>
          <w:rFonts w:ascii="Times New Roman" w:hAnsi="Times New Roman" w:cs="Times New Roman"/>
          <w:b/>
          <w:i/>
          <w:iCs/>
          <w:sz w:val="24"/>
          <w:szCs w:val="24"/>
          <w:lang w:val="en-US"/>
        </w:rPr>
        <w:t xml:space="preserve"> </w:t>
      </w:r>
      <w:proofErr w:type="spellStart"/>
      <w:r w:rsidRPr="000A3409">
        <w:rPr>
          <w:rFonts w:ascii="Times New Roman" w:hAnsi="Times New Roman" w:cs="Times New Roman"/>
          <w:b/>
          <w:i/>
          <w:iCs/>
          <w:sz w:val="24"/>
          <w:szCs w:val="24"/>
          <w:lang w:val="en-US"/>
        </w:rPr>
        <w:t>terrestris</w:t>
      </w:r>
      <w:proofErr w:type="spellEnd"/>
      <w:r w:rsidRPr="000A3409">
        <w:rPr>
          <w:rFonts w:ascii="Times New Roman" w:hAnsi="Times New Roman" w:cs="Times New Roman"/>
          <w:b/>
          <w:sz w:val="24"/>
          <w:szCs w:val="24"/>
          <w:lang w:val="en-US"/>
        </w:rPr>
        <w:t xml:space="preserve"> exposed to drugs</w:t>
      </w:r>
      <w:r w:rsidRPr="00BF1F1C">
        <w:rPr>
          <w:rFonts w:ascii="Times New Roman" w:hAnsi="Times New Roman" w:cs="Times New Roman"/>
          <w:b/>
          <w:sz w:val="24"/>
          <w:szCs w:val="24"/>
          <w:lang w:val="en-US"/>
        </w:rPr>
        <w:t xml:space="preserve"> </w:t>
      </w:r>
      <w:r>
        <w:rPr>
          <w:rFonts w:ascii="Times New Roman" w:hAnsi="Times New Roman" w:cs="Times New Roman"/>
          <w:b/>
          <w:sz w:val="24"/>
          <w:szCs w:val="24"/>
          <w:lang w:val="en-US"/>
        </w:rPr>
        <w:t>of environmental concern, an in vivo and in vitro approach.</w:t>
      </w:r>
    </w:p>
    <w:p w:rsidR="006763C6" w:rsidRPr="000A3409" w:rsidRDefault="006763C6" w:rsidP="006763C6">
      <w:pPr>
        <w:spacing w:line="480" w:lineRule="auto"/>
        <w:jc w:val="center"/>
        <w:rPr>
          <w:rFonts w:ascii="Times New Roman" w:hAnsi="Times New Roman" w:cs="Times New Roman"/>
          <w:b/>
          <w:sz w:val="24"/>
          <w:szCs w:val="24"/>
          <w:lang w:val="en-US"/>
        </w:rPr>
      </w:pPr>
    </w:p>
    <w:p w:rsidR="006763C6" w:rsidRPr="00DC1EB3" w:rsidRDefault="006763C6" w:rsidP="006763C6">
      <w:pPr>
        <w:spacing w:line="480" w:lineRule="auto"/>
        <w:jc w:val="center"/>
        <w:rPr>
          <w:rFonts w:ascii="Times New Roman" w:hAnsi="Times New Roman" w:cs="Times New Roman"/>
          <w:sz w:val="24"/>
          <w:szCs w:val="24"/>
          <w:lang w:val="en-GB"/>
        </w:rPr>
      </w:pPr>
      <w:r w:rsidRPr="00DC1EB3">
        <w:rPr>
          <w:rFonts w:ascii="Times New Roman" w:hAnsi="Times New Roman" w:cs="Times New Roman"/>
          <w:sz w:val="24"/>
          <w:szCs w:val="24"/>
          <w:lang w:val="en-GB"/>
        </w:rPr>
        <w:t>M. Solé</w:t>
      </w:r>
      <w:r w:rsidRPr="00DC1EB3">
        <w:rPr>
          <w:rFonts w:ascii="Times New Roman" w:hAnsi="Times New Roman" w:cs="Times New Roman"/>
          <w:sz w:val="24"/>
          <w:szCs w:val="24"/>
          <w:vertAlign w:val="superscript"/>
          <w:lang w:val="en-GB"/>
        </w:rPr>
        <w:t>1</w:t>
      </w:r>
      <w:r w:rsidRPr="00DC1EB3">
        <w:rPr>
          <w:rFonts w:ascii="Times New Roman" w:hAnsi="Times New Roman" w:cs="Times New Roman"/>
          <w:sz w:val="24"/>
          <w:szCs w:val="24"/>
          <w:lang w:val="en-GB"/>
        </w:rPr>
        <w:t>, N. Montemurro</w:t>
      </w:r>
      <w:r w:rsidRPr="00DC1EB3">
        <w:rPr>
          <w:rFonts w:ascii="Times New Roman" w:hAnsi="Times New Roman" w:cs="Times New Roman"/>
          <w:sz w:val="24"/>
          <w:szCs w:val="24"/>
          <w:vertAlign w:val="superscript"/>
          <w:lang w:val="en-GB"/>
        </w:rPr>
        <w:t>2</w:t>
      </w:r>
      <w:r w:rsidRPr="00DC1EB3">
        <w:rPr>
          <w:rFonts w:ascii="Times New Roman" w:hAnsi="Times New Roman" w:cs="Times New Roman"/>
          <w:sz w:val="24"/>
          <w:szCs w:val="24"/>
          <w:lang w:val="en-GB"/>
        </w:rPr>
        <w:t>, S. Pérez</w:t>
      </w:r>
      <w:r w:rsidRPr="00DC1EB3">
        <w:rPr>
          <w:rFonts w:ascii="Times New Roman" w:hAnsi="Times New Roman" w:cs="Times New Roman"/>
          <w:sz w:val="24"/>
          <w:szCs w:val="24"/>
          <w:vertAlign w:val="superscript"/>
          <w:lang w:val="en-GB"/>
        </w:rPr>
        <w:t>2</w:t>
      </w:r>
    </w:p>
    <w:p w:rsidR="006763C6" w:rsidRPr="00DC1EB3" w:rsidRDefault="006763C6" w:rsidP="006763C6">
      <w:pPr>
        <w:spacing w:line="480" w:lineRule="auto"/>
        <w:jc w:val="center"/>
        <w:rPr>
          <w:rFonts w:ascii="Times New Roman" w:hAnsi="Times New Roman" w:cs="Times New Roman"/>
          <w:sz w:val="24"/>
          <w:szCs w:val="24"/>
          <w:lang w:val="en-GB"/>
        </w:rPr>
      </w:pPr>
    </w:p>
    <w:p w:rsidR="006763C6" w:rsidRPr="000A3409" w:rsidRDefault="006763C6" w:rsidP="006763C6">
      <w:pPr>
        <w:spacing w:line="480" w:lineRule="auto"/>
        <w:jc w:val="center"/>
        <w:rPr>
          <w:rFonts w:ascii="Times New Roman" w:hAnsi="Times New Roman" w:cs="Times New Roman"/>
          <w:sz w:val="24"/>
          <w:szCs w:val="24"/>
          <w:lang w:val="en-GB"/>
        </w:rPr>
      </w:pPr>
      <w:proofErr w:type="gramStart"/>
      <w:r w:rsidRPr="0090791E">
        <w:rPr>
          <w:rFonts w:ascii="Times New Roman" w:hAnsi="Times New Roman" w:cs="Times New Roman"/>
          <w:sz w:val="24"/>
          <w:szCs w:val="24"/>
          <w:vertAlign w:val="superscript"/>
          <w:lang w:val="en-GB"/>
        </w:rPr>
        <w:t>1</w:t>
      </w:r>
      <w:r w:rsidRPr="000A3409">
        <w:rPr>
          <w:rFonts w:ascii="Times New Roman" w:hAnsi="Times New Roman" w:cs="Times New Roman"/>
          <w:sz w:val="24"/>
          <w:szCs w:val="24"/>
          <w:lang w:val="en-GB"/>
        </w:rPr>
        <w:t xml:space="preserve"> Renewable Marine Resources Department, Institute of Marine Sciences (ICM</w:t>
      </w:r>
      <w:r w:rsidRPr="000A3409">
        <w:rPr>
          <w:rFonts w:ascii="Cambria Math" w:hAnsi="Cambria Math" w:cs="Cambria Math"/>
          <w:sz w:val="24"/>
          <w:szCs w:val="24"/>
          <w:lang w:val="en-GB"/>
        </w:rPr>
        <w:t>‐</w:t>
      </w:r>
      <w:r w:rsidRPr="000A3409">
        <w:rPr>
          <w:rFonts w:ascii="Times New Roman" w:hAnsi="Times New Roman" w:cs="Times New Roman"/>
          <w:sz w:val="24"/>
          <w:szCs w:val="24"/>
          <w:lang w:val="en-GB"/>
        </w:rPr>
        <w:t>CSIC), Barcelona, Spain.</w:t>
      </w:r>
      <w:proofErr w:type="gramEnd"/>
    </w:p>
    <w:p w:rsidR="006763C6" w:rsidRPr="00CB5A8A" w:rsidRDefault="006763C6" w:rsidP="006763C6">
      <w:pPr>
        <w:spacing w:line="480" w:lineRule="auto"/>
        <w:jc w:val="center"/>
        <w:rPr>
          <w:rFonts w:ascii="Times New Roman" w:hAnsi="Times New Roman" w:cs="Times New Roman"/>
          <w:b/>
          <w:sz w:val="24"/>
          <w:szCs w:val="24"/>
          <w:lang w:val="en-GB"/>
        </w:rPr>
      </w:pPr>
      <w:r w:rsidRPr="0090791E">
        <w:rPr>
          <w:rFonts w:ascii="Times New Roman" w:hAnsi="Times New Roman" w:cs="Times New Roman"/>
          <w:sz w:val="24"/>
          <w:szCs w:val="24"/>
          <w:vertAlign w:val="superscript"/>
          <w:lang w:val="en-GB"/>
        </w:rPr>
        <w:t>2</w:t>
      </w:r>
      <w:r w:rsidRPr="000A3409">
        <w:rPr>
          <w:rFonts w:ascii="Times New Roman" w:hAnsi="Times New Roman" w:cs="Times New Roman"/>
          <w:sz w:val="24"/>
          <w:szCs w:val="24"/>
          <w:lang w:val="en-GB"/>
        </w:rPr>
        <w:t xml:space="preserve"> </w:t>
      </w:r>
      <w:r w:rsidRPr="008D1EAF">
        <w:rPr>
          <w:rFonts w:ascii="Times New Roman" w:hAnsi="Times New Roman" w:cs="Times New Roman"/>
          <w:sz w:val="24"/>
          <w:szCs w:val="24"/>
          <w:lang w:val="en-GB"/>
        </w:rPr>
        <w:t>ENFOCHEM, Department of Environmental Chemistry, IDAEA-CSIC, Jordi Girona 18-26, 08034 Barcelona, Spain</w:t>
      </w:r>
      <w:r w:rsidRPr="008D1EAF" w:rsidDel="008D1EAF">
        <w:rPr>
          <w:rFonts w:ascii="Times New Roman" w:hAnsi="Times New Roman" w:cs="Times New Roman"/>
          <w:sz w:val="24"/>
          <w:szCs w:val="24"/>
          <w:lang w:val="en-GB"/>
        </w:rPr>
        <w:t xml:space="preserve"> </w:t>
      </w:r>
    </w:p>
    <w:p w:rsidR="00503F16" w:rsidRDefault="00503F16">
      <w:pPr>
        <w:rPr>
          <w:lang w:val="en-GB"/>
        </w:rPr>
      </w:pPr>
    </w:p>
    <w:p w:rsidR="006763C6" w:rsidRDefault="006763C6">
      <w:pPr>
        <w:rPr>
          <w:lang w:val="en-GB"/>
        </w:rPr>
      </w:pPr>
    </w:p>
    <w:p w:rsidR="006763C6" w:rsidRDefault="006763C6">
      <w:pPr>
        <w:rPr>
          <w:lang w:val="en-GB"/>
        </w:rPr>
      </w:pPr>
    </w:p>
    <w:p w:rsidR="006763C6" w:rsidRDefault="006763C6">
      <w:pPr>
        <w:rPr>
          <w:lang w:val="en-GB"/>
        </w:rPr>
      </w:pPr>
    </w:p>
    <w:p w:rsidR="006763C6" w:rsidRDefault="006763C6">
      <w:pPr>
        <w:rPr>
          <w:lang w:val="en-GB"/>
        </w:rPr>
      </w:pPr>
    </w:p>
    <w:p w:rsidR="006763C6" w:rsidRDefault="006763C6">
      <w:pPr>
        <w:rPr>
          <w:lang w:val="en-GB"/>
        </w:rPr>
      </w:pPr>
    </w:p>
    <w:p w:rsidR="006763C6" w:rsidRDefault="006763C6">
      <w:pPr>
        <w:rPr>
          <w:lang w:val="en-GB"/>
        </w:rPr>
      </w:pPr>
    </w:p>
    <w:p w:rsidR="006763C6" w:rsidRDefault="006763C6">
      <w:pPr>
        <w:rPr>
          <w:lang w:val="en-GB"/>
        </w:rPr>
      </w:pPr>
    </w:p>
    <w:p w:rsidR="006B6D34" w:rsidRDefault="006B6D34">
      <w:pPr>
        <w:rPr>
          <w:lang w:val="en-GB"/>
        </w:rPr>
      </w:pPr>
    </w:p>
    <w:p w:rsidR="006B6D34" w:rsidRDefault="006B6D34">
      <w:pPr>
        <w:rPr>
          <w:lang w:val="en-GB"/>
        </w:rPr>
      </w:pPr>
    </w:p>
    <w:p w:rsidR="006B6D34" w:rsidRDefault="006B6D34">
      <w:pPr>
        <w:rPr>
          <w:lang w:val="en-GB"/>
        </w:rPr>
      </w:pPr>
    </w:p>
    <w:p w:rsidR="006B6D34" w:rsidRDefault="006B6D34">
      <w:pPr>
        <w:rPr>
          <w:lang w:val="en-GB"/>
        </w:rPr>
      </w:pPr>
    </w:p>
    <w:p w:rsidR="006B6D34" w:rsidRDefault="006B6D34">
      <w:pPr>
        <w:rPr>
          <w:lang w:val="en-GB"/>
        </w:rPr>
      </w:pPr>
    </w:p>
    <w:p w:rsidR="006B6D34" w:rsidRDefault="006B6D34">
      <w:pPr>
        <w:rPr>
          <w:lang w:val="en-GB"/>
        </w:rPr>
      </w:pPr>
    </w:p>
    <w:p w:rsidR="006B6D34" w:rsidRPr="002613CF" w:rsidRDefault="006B6D34">
      <w:pPr>
        <w:rPr>
          <w:rFonts w:ascii="Times New Roman" w:hAnsi="Times New Roman" w:cs="Times New Roman"/>
          <w:b/>
          <w:sz w:val="24"/>
          <w:szCs w:val="24"/>
          <w:lang w:val="en-GB"/>
        </w:rPr>
      </w:pPr>
      <w:r w:rsidRPr="002613CF">
        <w:rPr>
          <w:rFonts w:ascii="Times New Roman" w:hAnsi="Times New Roman" w:cs="Times New Roman"/>
          <w:b/>
          <w:sz w:val="24"/>
          <w:szCs w:val="24"/>
          <w:lang w:val="en-GB"/>
        </w:rPr>
        <w:lastRenderedPageBreak/>
        <w:t>Table of contents:</w:t>
      </w:r>
    </w:p>
    <w:p w:rsidR="006B6D34" w:rsidRPr="002613CF" w:rsidRDefault="006B6D34" w:rsidP="006B6D34">
      <w:pPr>
        <w:rPr>
          <w:rFonts w:ascii="Times New Roman" w:hAnsi="Times New Roman" w:cs="Times New Roman"/>
          <w:i/>
          <w:sz w:val="24"/>
          <w:szCs w:val="24"/>
          <w:lang w:val="en-GB"/>
        </w:rPr>
      </w:pPr>
      <w:proofErr w:type="gramStart"/>
      <w:r w:rsidRPr="002613CF">
        <w:rPr>
          <w:rFonts w:ascii="Times New Roman" w:hAnsi="Times New Roman" w:cs="Times New Roman"/>
          <w:i/>
          <w:sz w:val="24"/>
          <w:szCs w:val="24"/>
          <w:lang w:val="en-GB"/>
        </w:rPr>
        <w:t>Chemicals and methodological details.</w:t>
      </w:r>
      <w:proofErr w:type="gramEnd"/>
    </w:p>
    <w:p w:rsidR="006B6D34" w:rsidRPr="002613CF" w:rsidRDefault="006B6D34" w:rsidP="006B6D34">
      <w:pPr>
        <w:spacing w:line="480" w:lineRule="auto"/>
        <w:jc w:val="both"/>
        <w:rPr>
          <w:rFonts w:ascii="Times New Roman" w:hAnsi="Times New Roman" w:cs="Times New Roman"/>
          <w:sz w:val="24"/>
          <w:szCs w:val="24"/>
          <w:lang w:val="en-GB"/>
        </w:rPr>
      </w:pPr>
      <w:r w:rsidRPr="002613CF">
        <w:rPr>
          <w:rFonts w:ascii="Times New Roman" w:hAnsi="Times New Roman" w:cs="Times New Roman"/>
          <w:sz w:val="24"/>
          <w:szCs w:val="24"/>
          <w:lang w:val="en-GB"/>
        </w:rPr>
        <w:t xml:space="preserve">High purity reference standards cocaine (COC), </w:t>
      </w:r>
      <w:proofErr w:type="spellStart"/>
      <w:r w:rsidRPr="002613CF">
        <w:rPr>
          <w:rFonts w:ascii="Times New Roman" w:hAnsi="Times New Roman" w:cs="Times New Roman"/>
          <w:sz w:val="24"/>
          <w:szCs w:val="24"/>
          <w:lang w:val="en-GB"/>
        </w:rPr>
        <w:t>benzoylecgonine</w:t>
      </w:r>
      <w:proofErr w:type="spellEnd"/>
      <w:r w:rsidRPr="002613CF">
        <w:rPr>
          <w:rFonts w:ascii="Times New Roman" w:hAnsi="Times New Roman" w:cs="Times New Roman"/>
          <w:sz w:val="24"/>
          <w:szCs w:val="24"/>
          <w:lang w:val="en-GB"/>
        </w:rPr>
        <w:t xml:space="preserve"> (BEG), </w:t>
      </w:r>
      <w:proofErr w:type="spellStart"/>
      <w:r w:rsidRPr="002613CF">
        <w:rPr>
          <w:rFonts w:ascii="Times New Roman" w:hAnsi="Times New Roman" w:cs="Times New Roman"/>
          <w:sz w:val="24"/>
          <w:szCs w:val="24"/>
          <w:lang w:val="en-GB"/>
        </w:rPr>
        <w:t>cocaethylene</w:t>
      </w:r>
      <w:proofErr w:type="spellEnd"/>
      <w:r w:rsidRPr="002613CF">
        <w:rPr>
          <w:rFonts w:ascii="Times New Roman" w:hAnsi="Times New Roman" w:cs="Times New Roman"/>
          <w:sz w:val="24"/>
          <w:szCs w:val="24"/>
          <w:lang w:val="en-GB"/>
        </w:rPr>
        <w:t xml:space="preserve"> (COET) </w:t>
      </w:r>
      <w:proofErr w:type="spellStart"/>
      <w:r w:rsidRPr="002613CF">
        <w:rPr>
          <w:rFonts w:ascii="Times New Roman" w:hAnsi="Times New Roman" w:cs="Times New Roman"/>
          <w:sz w:val="24"/>
          <w:szCs w:val="24"/>
          <w:lang w:val="en-GB"/>
        </w:rPr>
        <w:t>fipronil</w:t>
      </w:r>
      <w:proofErr w:type="spellEnd"/>
      <w:r w:rsidRPr="002613CF">
        <w:rPr>
          <w:rFonts w:ascii="Times New Roman" w:hAnsi="Times New Roman" w:cs="Times New Roman"/>
          <w:sz w:val="24"/>
          <w:szCs w:val="24"/>
          <w:lang w:val="en-GB"/>
        </w:rPr>
        <w:t xml:space="preserve"> (FIP), </w:t>
      </w:r>
      <w:proofErr w:type="spellStart"/>
      <w:r w:rsidRPr="002613CF">
        <w:rPr>
          <w:rFonts w:ascii="Times New Roman" w:hAnsi="Times New Roman" w:cs="Times New Roman"/>
          <w:sz w:val="24"/>
          <w:szCs w:val="24"/>
          <w:lang w:val="en-GB"/>
        </w:rPr>
        <w:t>fipronil</w:t>
      </w:r>
      <w:proofErr w:type="spellEnd"/>
      <w:r w:rsidRPr="002613CF">
        <w:rPr>
          <w:rFonts w:ascii="Times New Roman" w:hAnsi="Times New Roman" w:cs="Times New Roman"/>
          <w:sz w:val="24"/>
          <w:szCs w:val="24"/>
          <w:lang w:val="en-GB"/>
        </w:rPr>
        <w:t xml:space="preserve"> </w:t>
      </w:r>
      <w:proofErr w:type="spellStart"/>
      <w:r w:rsidRPr="002613CF">
        <w:rPr>
          <w:rFonts w:ascii="Times New Roman" w:hAnsi="Times New Roman" w:cs="Times New Roman"/>
          <w:sz w:val="24"/>
          <w:szCs w:val="24"/>
          <w:lang w:val="en-GB"/>
        </w:rPr>
        <w:t>desulfinyl</w:t>
      </w:r>
      <w:proofErr w:type="spellEnd"/>
      <w:r w:rsidRPr="002613CF">
        <w:rPr>
          <w:rFonts w:ascii="Times New Roman" w:hAnsi="Times New Roman" w:cs="Times New Roman"/>
          <w:sz w:val="24"/>
          <w:szCs w:val="24"/>
          <w:lang w:val="en-GB"/>
        </w:rPr>
        <w:t xml:space="preserve"> (FIP-des), </w:t>
      </w:r>
      <w:proofErr w:type="spellStart"/>
      <w:r w:rsidRPr="002613CF">
        <w:rPr>
          <w:rFonts w:ascii="Times New Roman" w:hAnsi="Times New Roman" w:cs="Times New Roman"/>
          <w:sz w:val="24"/>
          <w:szCs w:val="24"/>
          <w:lang w:val="en-GB"/>
        </w:rPr>
        <w:t>fipronil</w:t>
      </w:r>
      <w:proofErr w:type="spellEnd"/>
      <w:r w:rsidRPr="002613CF">
        <w:rPr>
          <w:rFonts w:ascii="Times New Roman" w:hAnsi="Times New Roman" w:cs="Times New Roman"/>
          <w:sz w:val="24"/>
          <w:szCs w:val="24"/>
          <w:lang w:val="en-GB"/>
        </w:rPr>
        <w:t xml:space="preserve"> sulfone (FIP-sulfone), lamotrigine (LMG), N2-Methyl-Lamotrigine (LMG-met), lamotrigine-N2-oxide (LMG-N2-oxide), 5-Desamino 5-Oxo-2,5-dihydro lamotrigine) and isotopically labelled compounds (IS) (Cocaine-d5, fipronil-(pyrazole-13C3, cyano-13C) and, lamotrigine-13C3) were high purity (mostly 90%) and were obtained from Sigma-Aldrich (St. Luis, MO, USA) or Toronto Research Chemicals (Toronto, ON, Canada). For preparation of the EDTA-</w:t>
      </w:r>
      <w:proofErr w:type="spellStart"/>
      <w:r w:rsidRPr="002613CF">
        <w:rPr>
          <w:rFonts w:ascii="Times New Roman" w:hAnsi="Times New Roman" w:cs="Times New Roman"/>
          <w:sz w:val="24"/>
          <w:szCs w:val="24"/>
          <w:lang w:val="en-GB"/>
        </w:rPr>
        <w:t>McIIvaine</w:t>
      </w:r>
      <w:proofErr w:type="spellEnd"/>
      <w:r w:rsidRPr="002613CF">
        <w:rPr>
          <w:rFonts w:ascii="Times New Roman" w:hAnsi="Times New Roman" w:cs="Times New Roman"/>
          <w:sz w:val="24"/>
          <w:szCs w:val="24"/>
          <w:lang w:val="en-GB"/>
        </w:rPr>
        <w:t xml:space="preserve"> buffer (pH=4), Di-Sodium hydrogen phosphate dehydrate (Na2HPO4·2H2O) Citric acid monohydrate (C6H8O7·H2O) and EDTA (≥99%) were supplied by Sigma-Aldrich (St. Luis, MO, USA).  LC-MS grade acetonitrile (≥99.9%), methanol (≥99.9%), HPLC water, hexane and formic acid (98%) were purchased from Merck (Darmstadt, Germany). Ammonium fluoride was bought from Fisher Chemical (Fisher Scientific SL, Madrid, Spain). The Original non-buffered (OR) </w:t>
      </w:r>
      <w:proofErr w:type="spellStart"/>
      <w:r w:rsidRPr="002613CF">
        <w:rPr>
          <w:rFonts w:ascii="Times New Roman" w:hAnsi="Times New Roman" w:cs="Times New Roman"/>
          <w:sz w:val="24"/>
          <w:szCs w:val="24"/>
          <w:lang w:val="en-GB"/>
        </w:rPr>
        <w:t>QuEChERS</w:t>
      </w:r>
      <w:proofErr w:type="spellEnd"/>
      <w:r w:rsidRPr="002613CF">
        <w:rPr>
          <w:rFonts w:ascii="Times New Roman" w:hAnsi="Times New Roman" w:cs="Times New Roman"/>
          <w:sz w:val="24"/>
          <w:szCs w:val="24"/>
          <w:lang w:val="en-GB"/>
        </w:rPr>
        <w:t xml:space="preserve"> extraction salts kit (4g MgSO4 + 1g </w:t>
      </w:r>
      <w:proofErr w:type="spellStart"/>
      <w:r w:rsidRPr="002613CF">
        <w:rPr>
          <w:rFonts w:ascii="Times New Roman" w:hAnsi="Times New Roman" w:cs="Times New Roman"/>
          <w:sz w:val="24"/>
          <w:szCs w:val="24"/>
          <w:lang w:val="en-GB"/>
        </w:rPr>
        <w:t>NaCl</w:t>
      </w:r>
      <w:proofErr w:type="spellEnd"/>
      <w:r w:rsidRPr="002613CF">
        <w:rPr>
          <w:rFonts w:ascii="Times New Roman" w:hAnsi="Times New Roman" w:cs="Times New Roman"/>
          <w:sz w:val="24"/>
          <w:szCs w:val="24"/>
          <w:lang w:val="en-GB"/>
        </w:rPr>
        <w:t xml:space="preserve">) was obtained from </w:t>
      </w:r>
      <w:proofErr w:type="spellStart"/>
      <w:r w:rsidRPr="002613CF">
        <w:rPr>
          <w:rFonts w:ascii="Times New Roman" w:hAnsi="Times New Roman" w:cs="Times New Roman"/>
          <w:sz w:val="24"/>
          <w:szCs w:val="24"/>
          <w:lang w:val="en-GB"/>
        </w:rPr>
        <w:t>BEKOlut</w:t>
      </w:r>
      <w:proofErr w:type="spellEnd"/>
      <w:r w:rsidRPr="002613CF">
        <w:rPr>
          <w:rFonts w:ascii="Times New Roman" w:hAnsi="Times New Roman" w:cs="Times New Roman"/>
          <w:sz w:val="24"/>
          <w:szCs w:val="24"/>
          <w:lang w:val="en-GB"/>
        </w:rPr>
        <w:t xml:space="preserve"> GmbH &amp; Co. KG (</w:t>
      </w:r>
      <w:proofErr w:type="spellStart"/>
      <w:r w:rsidRPr="002613CF">
        <w:rPr>
          <w:rFonts w:ascii="Times New Roman" w:hAnsi="Times New Roman" w:cs="Times New Roman"/>
          <w:sz w:val="24"/>
          <w:szCs w:val="24"/>
          <w:lang w:val="en-GB"/>
        </w:rPr>
        <w:t>Hauptstuhl</w:t>
      </w:r>
      <w:proofErr w:type="spellEnd"/>
      <w:r w:rsidRPr="002613CF">
        <w:rPr>
          <w:rFonts w:ascii="Times New Roman" w:hAnsi="Times New Roman" w:cs="Times New Roman"/>
          <w:sz w:val="24"/>
          <w:szCs w:val="24"/>
          <w:lang w:val="en-GB"/>
        </w:rPr>
        <w:t>, Germany). Individual stock standard solutions (concentration of 1000 µg mL–1) and isotopically labelled compounds stock solution (1000 µg mL–1) used as internal standard (IS) was prepared in methanol and stored at -20 °C. Working solutions mixture (2 µg mL-1) and IS working solution (2 µg mL-1), for analysis and calibration purposes, were prepared by diluting adequate volumes of the individual stock solutions with methanol. All the solutions were stored at -20 °C.</w:t>
      </w:r>
    </w:p>
    <w:p w:rsidR="006763C6" w:rsidRPr="002613CF" w:rsidRDefault="006B6D34" w:rsidP="006B6D34">
      <w:pPr>
        <w:spacing w:line="480" w:lineRule="auto"/>
        <w:jc w:val="both"/>
        <w:rPr>
          <w:rFonts w:ascii="Times New Roman" w:hAnsi="Times New Roman" w:cs="Times New Roman"/>
          <w:sz w:val="24"/>
          <w:szCs w:val="24"/>
          <w:lang w:val="en-GB"/>
        </w:rPr>
      </w:pPr>
      <w:r w:rsidRPr="002613CF">
        <w:rPr>
          <w:rFonts w:ascii="Times New Roman" w:hAnsi="Times New Roman" w:cs="Times New Roman"/>
          <w:sz w:val="24"/>
          <w:szCs w:val="24"/>
          <w:lang w:val="en-GB"/>
        </w:rPr>
        <w:t xml:space="preserve">Chromatographic separation was performed on a reverse phase </w:t>
      </w:r>
      <w:proofErr w:type="spellStart"/>
      <w:r w:rsidRPr="002613CF">
        <w:rPr>
          <w:rFonts w:ascii="Times New Roman" w:hAnsi="Times New Roman" w:cs="Times New Roman"/>
          <w:sz w:val="24"/>
          <w:szCs w:val="24"/>
          <w:lang w:val="en-GB"/>
        </w:rPr>
        <w:t>Hibar</w:t>
      </w:r>
      <w:proofErr w:type="spellEnd"/>
      <w:r w:rsidRPr="002613CF">
        <w:rPr>
          <w:rFonts w:ascii="Times New Roman" w:hAnsi="Times New Roman" w:cs="Times New Roman"/>
          <w:sz w:val="24"/>
          <w:szCs w:val="24"/>
          <w:lang w:val="en-GB"/>
        </w:rPr>
        <w:t xml:space="preserve">® HR </w:t>
      </w:r>
      <w:proofErr w:type="spellStart"/>
      <w:r w:rsidRPr="002613CF">
        <w:rPr>
          <w:rFonts w:ascii="Times New Roman" w:hAnsi="Times New Roman" w:cs="Times New Roman"/>
          <w:sz w:val="24"/>
          <w:szCs w:val="24"/>
          <w:lang w:val="en-GB"/>
        </w:rPr>
        <w:t>Purospher</w:t>
      </w:r>
      <w:proofErr w:type="spellEnd"/>
      <w:r w:rsidRPr="002613CF">
        <w:rPr>
          <w:rFonts w:ascii="Times New Roman" w:hAnsi="Times New Roman" w:cs="Times New Roman"/>
          <w:sz w:val="24"/>
          <w:szCs w:val="24"/>
          <w:lang w:val="en-GB"/>
        </w:rPr>
        <w:t xml:space="preserve">® STAR RP-C18 column (100 mm x 2.1 mm </w:t>
      </w:r>
      <w:proofErr w:type="spellStart"/>
      <w:r w:rsidRPr="002613CF">
        <w:rPr>
          <w:rFonts w:ascii="Times New Roman" w:hAnsi="Times New Roman" w:cs="Times New Roman"/>
          <w:sz w:val="24"/>
          <w:szCs w:val="24"/>
          <w:lang w:val="en-GB"/>
        </w:rPr>
        <w:t>i.d.</w:t>
      </w:r>
      <w:proofErr w:type="spellEnd"/>
      <w:r w:rsidRPr="002613CF">
        <w:rPr>
          <w:rFonts w:ascii="Times New Roman" w:hAnsi="Times New Roman" w:cs="Times New Roman"/>
          <w:sz w:val="24"/>
          <w:szCs w:val="24"/>
          <w:lang w:val="en-GB"/>
        </w:rPr>
        <w:t xml:space="preserve">, 2 µm particle size, Merck, Darmstadt, Germany), maintained at 40 °C in the column oven. For the positive electrospray </w:t>
      </w:r>
      <w:r w:rsidRPr="002613CF">
        <w:rPr>
          <w:rFonts w:ascii="Times New Roman" w:hAnsi="Times New Roman" w:cs="Times New Roman"/>
          <w:sz w:val="24"/>
          <w:szCs w:val="24"/>
          <w:lang w:val="en-GB"/>
        </w:rPr>
        <w:lastRenderedPageBreak/>
        <w:t xml:space="preserve">ionization, mobile phases consisting of ACN and water (5 mM ammonium acetate + 0.1% formic acid), while for the negative ionization, ACN and water (2 mM ammonium fluoride). </w:t>
      </w:r>
      <w:proofErr w:type="gramStart"/>
      <w:r w:rsidRPr="002613CF">
        <w:rPr>
          <w:rFonts w:ascii="Times New Roman" w:hAnsi="Times New Roman" w:cs="Times New Roman"/>
          <w:sz w:val="24"/>
          <w:szCs w:val="24"/>
          <w:lang w:val="en-GB"/>
        </w:rPr>
        <w:t>The flow rate of 0.5 mL/min for a total chromatographic run time of 12 min.</w:t>
      </w:r>
      <w:proofErr w:type="gramEnd"/>
      <w:r w:rsidRPr="002613CF">
        <w:rPr>
          <w:rFonts w:ascii="Times New Roman" w:hAnsi="Times New Roman" w:cs="Times New Roman"/>
          <w:sz w:val="24"/>
          <w:szCs w:val="24"/>
          <w:lang w:val="en-GB"/>
        </w:rPr>
        <w:t xml:space="preserve"> The injection volume was 10 µL and the auto-sampler temperature was maintained at 8 °C. The fast elution was carried out using as mobile phases consisting of ACN and water (5 mM ammonium acetate + 0.1% formic acid) for the positive electrospray ionization and ACN and water (2 mM ammonium fluoride) for the negative ionization, at a flow rate of 0.5 mL/min. High resolution (HR) data were acquired in positive and negative electrospray ionization using SWATH® acquisition consisting of a TOF-MS survey (100-950 Da for 120 </w:t>
      </w:r>
      <w:proofErr w:type="spellStart"/>
      <w:r w:rsidRPr="002613CF">
        <w:rPr>
          <w:rFonts w:ascii="Times New Roman" w:hAnsi="Times New Roman" w:cs="Times New Roman"/>
          <w:sz w:val="24"/>
          <w:szCs w:val="24"/>
          <w:lang w:val="en-GB"/>
        </w:rPr>
        <w:t>ms</w:t>
      </w:r>
      <w:proofErr w:type="spellEnd"/>
      <w:r w:rsidRPr="002613CF">
        <w:rPr>
          <w:rFonts w:ascii="Times New Roman" w:hAnsi="Times New Roman" w:cs="Times New Roman"/>
          <w:sz w:val="24"/>
          <w:szCs w:val="24"/>
          <w:lang w:val="en-GB"/>
        </w:rPr>
        <w:t xml:space="preserve"> of Accumulation time (AT)) looped with 10 SWATH® MS/MS experiments (more details as in supplementary material Fig. S1). More details of the methodology are reported elsewhere (</w:t>
      </w:r>
      <w:proofErr w:type="spellStart"/>
      <w:r w:rsidRPr="002613CF">
        <w:rPr>
          <w:rFonts w:ascii="Times New Roman" w:hAnsi="Times New Roman" w:cs="Times New Roman"/>
          <w:sz w:val="24"/>
          <w:szCs w:val="24"/>
          <w:lang w:val="en-GB"/>
        </w:rPr>
        <w:t>Montemurro</w:t>
      </w:r>
      <w:proofErr w:type="spellEnd"/>
      <w:r w:rsidRPr="002613CF">
        <w:rPr>
          <w:rFonts w:ascii="Times New Roman" w:hAnsi="Times New Roman" w:cs="Times New Roman"/>
          <w:sz w:val="24"/>
          <w:szCs w:val="24"/>
          <w:lang w:val="en-GB"/>
        </w:rPr>
        <w:t xml:space="preserve"> et al., 2021).</w:t>
      </w:r>
    </w:p>
    <w:p w:rsidR="006763C6" w:rsidRDefault="006763C6" w:rsidP="006B6D34">
      <w:pPr>
        <w:spacing w:line="480" w:lineRule="auto"/>
        <w:jc w:val="both"/>
        <w:rPr>
          <w:lang w:val="en-GB"/>
        </w:rPr>
      </w:pPr>
      <w:r>
        <w:rPr>
          <w:lang w:val="en-GB"/>
        </w:rPr>
        <w:br w:type="page"/>
      </w:r>
    </w:p>
    <w:p w:rsidR="0038008F" w:rsidRDefault="0038008F" w:rsidP="006B6D34">
      <w:pPr>
        <w:spacing w:line="480" w:lineRule="auto"/>
        <w:jc w:val="both"/>
        <w:rPr>
          <w:rFonts w:ascii="Times New Roman" w:hAnsi="Times New Roman" w:cs="Times New Roman"/>
          <w:b/>
          <w:sz w:val="24"/>
          <w:lang w:val="en-GB"/>
        </w:rPr>
        <w:sectPr w:rsidR="0038008F" w:rsidSect="0038008F">
          <w:pgSz w:w="11906" w:h="16838"/>
          <w:pgMar w:top="1418" w:right="1701" w:bottom="1418" w:left="1701" w:header="709" w:footer="709" w:gutter="0"/>
          <w:cols w:space="708"/>
          <w:docGrid w:linePitch="360"/>
        </w:sectPr>
      </w:pPr>
    </w:p>
    <w:p w:rsidR="006763C6" w:rsidRDefault="006763C6">
      <w:pPr>
        <w:rPr>
          <w:sz w:val="24"/>
          <w:lang w:val="en-GB"/>
        </w:rPr>
      </w:pPr>
    </w:p>
    <w:p w:rsidR="006763C6" w:rsidRPr="00B0150A" w:rsidRDefault="0038008F" w:rsidP="0038008F">
      <w:pPr>
        <w:rPr>
          <w:rFonts w:ascii="Times New Roman" w:hAnsi="Times New Roman" w:cs="Times New Roman"/>
          <w:sz w:val="24"/>
          <w:szCs w:val="24"/>
          <w:lang w:val="en-GB"/>
        </w:rPr>
      </w:pPr>
      <w:r w:rsidRPr="005F5B40">
        <w:rPr>
          <w:rFonts w:ascii="Times New Roman" w:hAnsi="Times New Roman" w:cs="Times New Roman"/>
          <w:b/>
          <w:sz w:val="24"/>
          <w:szCs w:val="24"/>
          <w:lang w:val="en-GB"/>
        </w:rPr>
        <w:t>Table S</w:t>
      </w:r>
      <w:r w:rsidR="00DC1EB3">
        <w:rPr>
          <w:rFonts w:ascii="Times New Roman" w:hAnsi="Times New Roman" w:cs="Times New Roman"/>
          <w:b/>
          <w:sz w:val="24"/>
          <w:szCs w:val="24"/>
          <w:lang w:val="en-GB"/>
        </w:rPr>
        <w:t>2</w:t>
      </w:r>
      <w:r w:rsidRPr="00B0150A">
        <w:rPr>
          <w:rFonts w:ascii="Times New Roman" w:hAnsi="Times New Roman" w:cs="Times New Roman"/>
          <w:sz w:val="24"/>
          <w:szCs w:val="24"/>
          <w:lang w:val="en-GB"/>
        </w:rPr>
        <w:t>. Metabolites or transformation products for COC and FIP previously reported in the literature were manually compiled by consulting the integrated SCIEX NIST-2017 spectral library included in the SCIEX OS™ software</w:t>
      </w:r>
    </w:p>
    <w:tbl>
      <w:tblPr>
        <w:tblW w:w="12657" w:type="dxa"/>
        <w:tblLook w:val="04A0" w:firstRow="1" w:lastRow="0" w:firstColumn="1" w:lastColumn="0" w:noHBand="0" w:noVBand="1"/>
      </w:tblPr>
      <w:tblGrid>
        <w:gridCol w:w="4620"/>
        <w:gridCol w:w="2062"/>
        <w:gridCol w:w="1570"/>
        <w:gridCol w:w="1080"/>
        <w:gridCol w:w="1078"/>
        <w:gridCol w:w="1920"/>
        <w:gridCol w:w="480"/>
      </w:tblGrid>
      <w:tr w:rsidR="0038008F" w:rsidRPr="00B0150A" w:rsidTr="0038008F">
        <w:trPr>
          <w:trHeight w:val="300"/>
        </w:trPr>
        <w:tc>
          <w:tcPr>
            <w:tcW w:w="462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Name</w:t>
            </w:r>
          </w:p>
        </w:tc>
        <w:tc>
          <w:tcPr>
            <w:tcW w:w="1909"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Chemical Formula</w:t>
            </w:r>
          </w:p>
        </w:tc>
        <w:tc>
          <w:tcPr>
            <w:tcW w:w="157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Adduct/Charge</w:t>
            </w:r>
          </w:p>
        </w:tc>
        <w:tc>
          <w:tcPr>
            <w:tcW w:w="108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Precursor ion (m/z)</w:t>
            </w:r>
          </w:p>
        </w:tc>
        <w:tc>
          <w:tcPr>
            <w:tcW w:w="1078"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Fragment ion (m/z)</w:t>
            </w:r>
          </w:p>
        </w:tc>
        <w:tc>
          <w:tcPr>
            <w:tcW w:w="2400" w:type="dxa"/>
            <w:gridSpan w:val="2"/>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Estimated RT (min)</w:t>
            </w:r>
          </w:p>
        </w:tc>
      </w:tr>
      <w:tr w:rsidR="0038008F" w:rsidRPr="00B0150A" w:rsidTr="0038008F">
        <w:trPr>
          <w:trHeight w:val="300"/>
        </w:trPr>
        <w:tc>
          <w:tcPr>
            <w:tcW w:w="462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3',4',5'-Trimethoxycocaine (NIST)</w:t>
            </w:r>
          </w:p>
        </w:tc>
        <w:tc>
          <w:tcPr>
            <w:tcW w:w="1909"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C20H27NO7</w:t>
            </w:r>
          </w:p>
        </w:tc>
        <w:tc>
          <w:tcPr>
            <w:tcW w:w="157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394,186</w:t>
            </w:r>
          </w:p>
        </w:tc>
        <w:tc>
          <w:tcPr>
            <w:tcW w:w="1078"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182,1176</w:t>
            </w:r>
          </w:p>
        </w:tc>
        <w:tc>
          <w:tcPr>
            <w:tcW w:w="192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7,6</w:t>
            </w:r>
          </w:p>
        </w:tc>
        <w:tc>
          <w:tcPr>
            <w:tcW w:w="48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6B6D34" w:rsidRDefault="0038008F" w:rsidP="0038008F">
            <w:pPr>
              <w:spacing w:after="0" w:line="240" w:lineRule="auto"/>
              <w:rPr>
                <w:rFonts w:ascii="Times New Roman" w:eastAsia="Times New Roman" w:hAnsi="Times New Roman" w:cs="Times New Roman"/>
                <w:color w:val="000000"/>
                <w:lang w:val="fr-FR" w:eastAsia="en-GB"/>
              </w:rPr>
            </w:pPr>
            <w:r w:rsidRPr="006B6D34">
              <w:rPr>
                <w:rFonts w:ascii="Times New Roman" w:eastAsia="Times New Roman" w:hAnsi="Times New Roman" w:cs="Times New Roman"/>
                <w:color w:val="000000"/>
                <w:lang w:val="fr-FR" w:eastAsia="en-GB"/>
              </w:rPr>
              <w:t>3',4',5'-Trimethoxytropacocaine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C18H25NO5</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336,1806</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124,1121</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4-Fluorotropacocaine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C15H18FNO2</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264,1394</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124,1122</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6,85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Cocaethylene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C18H23NO4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318,17</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196,1334</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5,76</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Cocaine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C17H21NO4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304,1543</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182,1177</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4,92</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Isopropylcocaine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C19H25NO4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332,1856</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105,0417</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4,68</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w:t>
            </w:r>
            <w:proofErr w:type="spellStart"/>
            <w:r w:rsidRPr="00B0150A">
              <w:rPr>
                <w:rFonts w:ascii="Times New Roman" w:eastAsia="Times New Roman" w:hAnsi="Times New Roman" w:cs="Times New Roman"/>
                <w:color w:val="000000"/>
                <w:lang w:val="en-GB" w:eastAsia="en-GB"/>
              </w:rPr>
              <w:t>Hydroxycocaine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C17H21NO5</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320,1493</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182,1206</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2,95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Norcocaine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C16H19NO4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290,1387</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136,0759</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p-</w:t>
            </w:r>
            <w:proofErr w:type="spellStart"/>
            <w:r w:rsidRPr="00B0150A">
              <w:rPr>
                <w:rFonts w:ascii="Times New Roman" w:eastAsia="Times New Roman" w:hAnsi="Times New Roman" w:cs="Times New Roman"/>
                <w:color w:val="000000"/>
                <w:lang w:val="en-GB" w:eastAsia="en-GB"/>
              </w:rPr>
              <w:t>Fluorococaine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C17H20FNO4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322,1449</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182,1175</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2,95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trans-3,4,5-Trimethoxycinnamoylcocaine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C22H29NO7</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420,2017</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221,0809</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3,97</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trans-</w:t>
            </w:r>
            <w:proofErr w:type="spellStart"/>
            <w:r w:rsidRPr="00B0150A">
              <w:rPr>
                <w:rFonts w:ascii="Times New Roman" w:eastAsia="Times New Roman" w:hAnsi="Times New Roman" w:cs="Times New Roman"/>
                <w:color w:val="000000"/>
                <w:lang w:val="en-GB" w:eastAsia="en-GB"/>
              </w:rPr>
              <w:t>Cinnamoylcocaine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C19H23NO4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330,17</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182,1176</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2,95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Tropacocaine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C15H19NO2</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246,1489</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124,1121</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6,85</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r>
      <w:tr w:rsidR="0038008F" w:rsidRPr="00B0150A" w:rsidTr="0038008F">
        <w:trPr>
          <w:trHeight w:val="300"/>
        </w:trPr>
        <w:tc>
          <w:tcPr>
            <w:tcW w:w="462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909"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57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08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078"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192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c>
          <w:tcPr>
            <w:tcW w:w="48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lang w:val="en-GB" w:eastAsia="en-GB"/>
              </w:rPr>
            </w:pPr>
          </w:p>
        </w:tc>
      </w:tr>
      <w:tr w:rsidR="0038008F" w:rsidRPr="00B0150A" w:rsidTr="0038008F">
        <w:trPr>
          <w:trHeight w:val="300"/>
        </w:trPr>
        <w:tc>
          <w:tcPr>
            <w:tcW w:w="462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Name</w:t>
            </w:r>
          </w:p>
        </w:tc>
        <w:tc>
          <w:tcPr>
            <w:tcW w:w="1909"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Chemical Formula</w:t>
            </w:r>
          </w:p>
        </w:tc>
        <w:tc>
          <w:tcPr>
            <w:tcW w:w="157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Adduct/Charge</w:t>
            </w:r>
          </w:p>
        </w:tc>
        <w:tc>
          <w:tcPr>
            <w:tcW w:w="108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Precursor (Q1) Mass (Da)</w:t>
            </w:r>
          </w:p>
        </w:tc>
        <w:tc>
          <w:tcPr>
            <w:tcW w:w="1078"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Fragment (Q3) Mass (Da)</w:t>
            </w:r>
          </w:p>
        </w:tc>
        <w:tc>
          <w:tcPr>
            <w:tcW w:w="2400" w:type="dxa"/>
            <w:gridSpan w:val="2"/>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Retention Time (min)</w:t>
            </w:r>
          </w:p>
        </w:tc>
      </w:tr>
      <w:tr w:rsidR="0038008F" w:rsidRPr="00B0150A" w:rsidTr="0038008F">
        <w:trPr>
          <w:trHeight w:val="300"/>
        </w:trPr>
        <w:tc>
          <w:tcPr>
            <w:tcW w:w="462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Fipronil (NIST)</w:t>
            </w:r>
          </w:p>
        </w:tc>
        <w:tc>
          <w:tcPr>
            <w:tcW w:w="1909"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C12H4Cl2F6N4OS</w:t>
            </w:r>
          </w:p>
        </w:tc>
        <w:tc>
          <w:tcPr>
            <w:tcW w:w="157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434,9314</w:t>
            </w:r>
          </w:p>
        </w:tc>
        <w:tc>
          <w:tcPr>
            <w:tcW w:w="1078"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329,96</w:t>
            </w:r>
          </w:p>
        </w:tc>
        <w:tc>
          <w:tcPr>
            <w:tcW w:w="192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8,93</w:t>
            </w:r>
          </w:p>
        </w:tc>
        <w:tc>
          <w:tcPr>
            <w:tcW w:w="480" w:type="dxa"/>
            <w:tcBorders>
              <w:top w:val="single" w:sz="4" w:space="0" w:color="auto"/>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Fipronil</w:t>
            </w:r>
            <w:proofErr w:type="spellEnd"/>
            <w:r w:rsidRPr="00B0150A">
              <w:rPr>
                <w:rFonts w:ascii="Times New Roman" w:eastAsia="Times New Roman" w:hAnsi="Times New Roman" w:cs="Times New Roman"/>
                <w:color w:val="000000"/>
                <w:lang w:val="en-GB" w:eastAsia="en-GB"/>
              </w:rPr>
              <w:t xml:space="preserve"> </w:t>
            </w:r>
            <w:proofErr w:type="spellStart"/>
            <w:r w:rsidRPr="00B0150A">
              <w:rPr>
                <w:rFonts w:ascii="Times New Roman" w:eastAsia="Times New Roman" w:hAnsi="Times New Roman" w:cs="Times New Roman"/>
                <w:color w:val="000000"/>
                <w:lang w:val="en-GB" w:eastAsia="en-GB"/>
              </w:rPr>
              <w:t>desulfinyl</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C12H4Cl2F6N4</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386,9644</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143,0074</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9,06</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proofErr w:type="spellStart"/>
            <w:r w:rsidRPr="00B0150A">
              <w:rPr>
                <w:rFonts w:ascii="Times New Roman" w:eastAsia="Times New Roman" w:hAnsi="Times New Roman" w:cs="Times New Roman"/>
                <w:color w:val="000000"/>
                <w:lang w:val="en-GB" w:eastAsia="en-GB"/>
              </w:rPr>
              <w:t>Fipronil</w:t>
            </w:r>
            <w:proofErr w:type="spellEnd"/>
            <w:r w:rsidRPr="00B0150A">
              <w:rPr>
                <w:rFonts w:ascii="Times New Roman" w:eastAsia="Times New Roman" w:hAnsi="Times New Roman" w:cs="Times New Roman"/>
                <w:color w:val="000000"/>
                <w:lang w:val="en-GB" w:eastAsia="en-GB"/>
              </w:rPr>
              <w:t xml:space="preserve"> </w:t>
            </w:r>
            <w:proofErr w:type="spellStart"/>
            <w:r w:rsidRPr="00B0150A">
              <w:rPr>
                <w:rFonts w:ascii="Times New Roman" w:eastAsia="Times New Roman" w:hAnsi="Times New Roman" w:cs="Times New Roman"/>
                <w:color w:val="000000"/>
                <w:lang w:val="en-GB" w:eastAsia="en-GB"/>
              </w:rPr>
              <w:t>sulfide</w:t>
            </w:r>
            <w:proofErr w:type="spellEnd"/>
            <w:r w:rsidRPr="00B0150A">
              <w:rPr>
                <w:rFonts w:ascii="Times New Roman" w:eastAsia="Times New Roman" w:hAnsi="Times New Roman" w:cs="Times New Roman"/>
                <w:color w:val="000000"/>
                <w:lang w:val="en-GB" w:eastAsia="en-GB"/>
              </w:rPr>
              <w:t xml:space="preserve"> (NIST)</w:t>
            </w:r>
          </w:p>
        </w:tc>
        <w:tc>
          <w:tcPr>
            <w:tcW w:w="1909"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C12H4Cl2F6N4S</w:t>
            </w:r>
          </w:p>
        </w:tc>
        <w:tc>
          <w:tcPr>
            <w:tcW w:w="157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418,9365</w:t>
            </w:r>
          </w:p>
        </w:tc>
        <w:tc>
          <w:tcPr>
            <w:tcW w:w="1078"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316,9857</w:t>
            </w:r>
          </w:p>
        </w:tc>
        <w:tc>
          <w:tcPr>
            <w:tcW w:w="192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9,22</w:t>
            </w:r>
          </w:p>
        </w:tc>
        <w:tc>
          <w:tcPr>
            <w:tcW w:w="480" w:type="dxa"/>
            <w:tcBorders>
              <w:top w:val="nil"/>
              <w:left w:val="nil"/>
              <w:bottom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Fipronil sulfone (NIST)</w:t>
            </w:r>
          </w:p>
        </w:tc>
        <w:tc>
          <w:tcPr>
            <w:tcW w:w="1909"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C12H4Cl2F6N4O2S</w:t>
            </w:r>
          </w:p>
        </w:tc>
        <w:tc>
          <w:tcPr>
            <w:tcW w:w="1570" w:type="dxa"/>
            <w:tcBorders>
              <w:top w:val="nil"/>
              <w:left w:val="nil"/>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450,9263</w:t>
            </w:r>
          </w:p>
        </w:tc>
        <w:tc>
          <w:tcPr>
            <w:tcW w:w="1078" w:type="dxa"/>
            <w:tcBorders>
              <w:top w:val="nil"/>
              <w:left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414,953</w:t>
            </w:r>
          </w:p>
        </w:tc>
        <w:tc>
          <w:tcPr>
            <w:tcW w:w="1920" w:type="dxa"/>
            <w:tcBorders>
              <w:top w:val="nil"/>
              <w:left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9,25</w:t>
            </w:r>
          </w:p>
        </w:tc>
        <w:tc>
          <w:tcPr>
            <w:tcW w:w="480" w:type="dxa"/>
            <w:tcBorders>
              <w:top w:val="nil"/>
              <w:left w:val="nil"/>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r w:rsidR="0038008F" w:rsidRPr="00B0150A" w:rsidTr="0038008F">
        <w:trPr>
          <w:trHeight w:val="300"/>
        </w:trPr>
        <w:tc>
          <w:tcPr>
            <w:tcW w:w="462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Fipronil Amide (NIST)</w:t>
            </w:r>
          </w:p>
        </w:tc>
        <w:tc>
          <w:tcPr>
            <w:tcW w:w="1909"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C12H6Cl2F6N4O2S</w:t>
            </w:r>
          </w:p>
        </w:tc>
        <w:tc>
          <w:tcPr>
            <w:tcW w:w="157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[M-H]-</w:t>
            </w:r>
          </w:p>
        </w:tc>
        <w:tc>
          <w:tcPr>
            <w:tcW w:w="108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452,942</w:t>
            </w:r>
          </w:p>
        </w:tc>
        <w:tc>
          <w:tcPr>
            <w:tcW w:w="1078"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303,9557</w:t>
            </w:r>
          </w:p>
        </w:tc>
        <w:tc>
          <w:tcPr>
            <w:tcW w:w="192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r w:rsidRPr="00B0150A">
              <w:rPr>
                <w:rFonts w:ascii="Times New Roman" w:eastAsia="Times New Roman" w:hAnsi="Times New Roman" w:cs="Times New Roman"/>
                <w:color w:val="000000"/>
                <w:lang w:val="en-GB" w:eastAsia="en-GB"/>
              </w:rPr>
              <w:t>7,9</w:t>
            </w:r>
          </w:p>
        </w:tc>
        <w:tc>
          <w:tcPr>
            <w:tcW w:w="480" w:type="dxa"/>
            <w:tcBorders>
              <w:top w:val="nil"/>
              <w:left w:val="nil"/>
              <w:bottom w:val="single" w:sz="4" w:space="0" w:color="auto"/>
              <w:right w:val="nil"/>
            </w:tcBorders>
            <w:shd w:val="clear" w:color="auto" w:fill="auto"/>
            <w:noWrap/>
            <w:vAlign w:val="bottom"/>
            <w:hideMark/>
          </w:tcPr>
          <w:p w:rsidR="0038008F" w:rsidRPr="00B0150A" w:rsidRDefault="0038008F" w:rsidP="0038008F">
            <w:pPr>
              <w:spacing w:after="0" w:line="240" w:lineRule="auto"/>
              <w:jc w:val="right"/>
              <w:rPr>
                <w:rFonts w:ascii="Times New Roman" w:eastAsia="Times New Roman" w:hAnsi="Times New Roman" w:cs="Times New Roman"/>
                <w:color w:val="000000"/>
                <w:lang w:val="en-GB" w:eastAsia="en-GB"/>
              </w:rPr>
            </w:pPr>
          </w:p>
        </w:tc>
      </w:tr>
    </w:tbl>
    <w:p w:rsidR="0038008F" w:rsidRDefault="0038008F">
      <w:pPr>
        <w:rPr>
          <w:sz w:val="24"/>
          <w:lang w:val="en-GB"/>
        </w:rPr>
        <w:sectPr w:rsidR="0038008F" w:rsidSect="0038008F">
          <w:pgSz w:w="16838" w:h="11906" w:orient="landscape"/>
          <w:pgMar w:top="1701" w:right="1418" w:bottom="1701" w:left="1418" w:header="709" w:footer="709" w:gutter="0"/>
          <w:cols w:space="708"/>
          <w:docGrid w:linePitch="360"/>
        </w:sectPr>
      </w:pPr>
    </w:p>
    <w:p w:rsidR="00FA2A0F" w:rsidRDefault="00FA2A0F" w:rsidP="00FA2A0F">
      <w:pPr>
        <w:jc w:val="both"/>
        <w:rPr>
          <w:rFonts w:ascii="Times New Roman" w:hAnsi="Times New Roman" w:cs="Times New Roman"/>
          <w:szCs w:val="24"/>
          <w:lang w:val="en-US"/>
        </w:rPr>
      </w:pPr>
      <w:r w:rsidRPr="00736459">
        <w:rPr>
          <w:rFonts w:ascii="Times New Roman" w:hAnsi="Times New Roman" w:cs="Times New Roman"/>
          <w:szCs w:val="24"/>
          <w:lang w:val="en-US"/>
        </w:rPr>
        <w:lastRenderedPageBreak/>
        <w:t>Variable SWATH acquisition window</w:t>
      </w:r>
      <w:r>
        <w:rPr>
          <w:rFonts w:ascii="Times New Roman" w:hAnsi="Times New Roman" w:cs="Times New Roman"/>
          <w:szCs w:val="24"/>
          <w:lang w:val="en-US"/>
        </w:rPr>
        <w:t>s</w:t>
      </w:r>
      <w:r w:rsidRPr="00736459">
        <w:rPr>
          <w:rFonts w:ascii="Times New Roman" w:hAnsi="Times New Roman" w:cs="Times New Roman"/>
          <w:szCs w:val="24"/>
          <w:lang w:val="en-US"/>
        </w:rPr>
        <w:t xml:space="preserve"> size </w:t>
      </w:r>
      <w:r>
        <w:rPr>
          <w:rFonts w:ascii="Times New Roman" w:hAnsi="Times New Roman" w:cs="Times New Roman"/>
          <w:szCs w:val="24"/>
          <w:lang w:val="en-US"/>
        </w:rPr>
        <w:t>were</w:t>
      </w:r>
      <w:r w:rsidRPr="00736459">
        <w:rPr>
          <w:rFonts w:ascii="Times New Roman" w:hAnsi="Times New Roman" w:cs="Times New Roman"/>
          <w:szCs w:val="24"/>
          <w:lang w:val="en-US"/>
        </w:rPr>
        <w:t xml:space="preserve"> optimized using the SCIEX</w:t>
      </w:r>
      <w:r>
        <w:rPr>
          <w:rFonts w:ascii="Times New Roman" w:hAnsi="Times New Roman" w:cs="Times New Roman"/>
          <w:szCs w:val="24"/>
          <w:lang w:val="en-US"/>
        </w:rPr>
        <w:t xml:space="preserve"> Variable Window Calculator 1.1. The software</w:t>
      </w:r>
      <w:r w:rsidRPr="00736459">
        <w:rPr>
          <w:rFonts w:ascii="Times New Roman" w:hAnsi="Times New Roman" w:cs="Times New Roman"/>
          <w:szCs w:val="24"/>
          <w:lang w:val="en-US"/>
        </w:rPr>
        <w:t xml:space="preserve"> automatically calculate</w:t>
      </w:r>
      <w:r>
        <w:rPr>
          <w:rFonts w:ascii="Times New Roman" w:hAnsi="Times New Roman" w:cs="Times New Roman"/>
          <w:szCs w:val="24"/>
          <w:lang w:val="en-US"/>
        </w:rPr>
        <w:t>s</w:t>
      </w:r>
      <w:r w:rsidRPr="00736459">
        <w:rPr>
          <w:rFonts w:ascii="Times New Roman" w:hAnsi="Times New Roman" w:cs="Times New Roman"/>
          <w:szCs w:val="24"/>
          <w:lang w:val="en-US"/>
        </w:rPr>
        <w:t xml:space="preserve"> the best Q1 window </w:t>
      </w:r>
      <w:r>
        <w:rPr>
          <w:rFonts w:ascii="Times New Roman" w:hAnsi="Times New Roman" w:cs="Times New Roman"/>
          <w:szCs w:val="24"/>
          <w:lang w:val="en-US"/>
        </w:rPr>
        <w:t>size</w:t>
      </w:r>
      <w:r w:rsidRPr="00736459">
        <w:rPr>
          <w:rFonts w:ascii="Times New Roman" w:hAnsi="Times New Roman" w:cs="Times New Roman"/>
          <w:szCs w:val="24"/>
          <w:lang w:val="en-US"/>
        </w:rPr>
        <w:t xml:space="preserve"> for the </w:t>
      </w:r>
      <w:r>
        <w:rPr>
          <w:rFonts w:ascii="Times New Roman" w:hAnsi="Times New Roman" w:cs="Times New Roman"/>
          <w:szCs w:val="24"/>
          <w:lang w:val="en-US"/>
        </w:rPr>
        <w:t>earthworm</w:t>
      </w:r>
      <w:r w:rsidRPr="00736459">
        <w:rPr>
          <w:rFonts w:ascii="Times New Roman" w:hAnsi="Times New Roman" w:cs="Times New Roman"/>
          <w:szCs w:val="24"/>
          <w:lang w:val="en-US"/>
        </w:rPr>
        <w:t xml:space="preserve"> matrix </w:t>
      </w:r>
      <w:r>
        <w:rPr>
          <w:rFonts w:ascii="Times New Roman" w:hAnsi="Times New Roman" w:cs="Times New Roman"/>
          <w:szCs w:val="24"/>
          <w:lang w:val="en-US"/>
        </w:rPr>
        <w:t>using</w:t>
      </w:r>
      <w:r w:rsidRPr="00736459">
        <w:rPr>
          <w:rFonts w:ascii="Times New Roman" w:hAnsi="Times New Roman" w:cs="Times New Roman"/>
          <w:szCs w:val="24"/>
          <w:lang w:val="en-US"/>
        </w:rPr>
        <w:t xml:space="preserve"> the TOF-MS m/z distribution of precursors. </w:t>
      </w:r>
      <w:r>
        <w:rPr>
          <w:rFonts w:ascii="Times New Roman" w:hAnsi="Times New Roman" w:cs="Times New Roman"/>
          <w:szCs w:val="24"/>
          <w:lang w:val="en-US"/>
        </w:rPr>
        <w:t>N</w:t>
      </w:r>
      <w:r w:rsidRPr="00736459">
        <w:rPr>
          <w:rFonts w:ascii="Times New Roman" w:hAnsi="Times New Roman" w:cs="Times New Roman"/>
          <w:szCs w:val="24"/>
          <w:lang w:val="en-US"/>
        </w:rPr>
        <w:t>umber of vari</w:t>
      </w:r>
      <w:r>
        <w:rPr>
          <w:rFonts w:ascii="Times New Roman" w:hAnsi="Times New Roman" w:cs="Times New Roman"/>
          <w:szCs w:val="24"/>
          <w:lang w:val="en-US"/>
        </w:rPr>
        <w:t>able windows, accumulation time</w:t>
      </w:r>
      <w:r w:rsidRPr="00736459">
        <w:rPr>
          <w:rFonts w:ascii="Times New Roman" w:hAnsi="Times New Roman" w:cs="Times New Roman"/>
          <w:szCs w:val="24"/>
          <w:lang w:val="en-US"/>
        </w:rPr>
        <w:t xml:space="preserve">, </w:t>
      </w:r>
      <w:r>
        <w:rPr>
          <w:rFonts w:ascii="Times New Roman" w:hAnsi="Times New Roman" w:cs="Times New Roman"/>
          <w:szCs w:val="24"/>
          <w:lang w:val="en-US"/>
        </w:rPr>
        <w:t>total cycle time</w:t>
      </w:r>
      <w:r w:rsidRPr="00736459">
        <w:rPr>
          <w:rFonts w:ascii="Times New Roman" w:hAnsi="Times New Roman" w:cs="Times New Roman"/>
          <w:szCs w:val="24"/>
          <w:lang w:val="en-US"/>
        </w:rPr>
        <w:t xml:space="preserve"> as well as the optimal number of points across the eluting sample peak </w:t>
      </w:r>
      <w:r>
        <w:rPr>
          <w:rFonts w:ascii="Times New Roman" w:hAnsi="Times New Roman" w:cs="Times New Roman"/>
          <w:szCs w:val="24"/>
          <w:lang w:val="en-US"/>
        </w:rPr>
        <w:t>(</w:t>
      </w:r>
      <w:r w:rsidRPr="00736459">
        <w:rPr>
          <w:rFonts w:ascii="Times New Roman" w:hAnsi="Times New Roman" w:cs="Times New Roman"/>
          <w:szCs w:val="24"/>
          <w:lang w:val="en-US"/>
        </w:rPr>
        <w:t>&gt;10 points across each peak for optimal</w:t>
      </w:r>
      <w:r>
        <w:rPr>
          <w:rFonts w:ascii="Times New Roman" w:hAnsi="Times New Roman" w:cs="Times New Roman"/>
          <w:szCs w:val="24"/>
          <w:lang w:val="en-US"/>
        </w:rPr>
        <w:t xml:space="preserve"> quantitation) were adapted from elsewhere </w:t>
      </w:r>
      <w:r>
        <w:rPr>
          <w:rFonts w:ascii="Times New Roman" w:hAnsi="Times New Roman" w:cs="Times New Roman"/>
          <w:szCs w:val="24"/>
          <w:lang w:val="en-US"/>
        </w:rPr>
        <w:fldChar w:fldCharType="begin"/>
      </w:r>
      <w:r>
        <w:rPr>
          <w:rFonts w:ascii="Times New Roman" w:hAnsi="Times New Roman" w:cs="Times New Roman"/>
          <w:szCs w:val="24"/>
          <w:lang w:val="en-US"/>
        </w:rPr>
        <w:instrText xml:space="preserve"> ADDIN EN.CITE &lt;EndNote&gt;&lt;Cite&gt;&lt;Author&gt;Montemurro&lt;/Author&gt;&lt;Year&gt;2020&lt;/Year&gt;&lt;RecNum&gt;385&lt;/RecNum&gt;&lt;DisplayText&gt;(Montemurro et al., 2020)&lt;/DisplayText&gt;&lt;record&gt;&lt;rec-number&gt;385&lt;/rec-number&gt;&lt;foreign-keys&gt;&lt;key app="EN" db-id="w90r0ew9tps9aieppfxpsedwzewte55rr59p" timestamp="1605112961"&gt;385&lt;/key&gt;&lt;/foreign-keys&gt;&lt;ref-type name="Journal Article"&gt;17&lt;/ref-type&gt;&lt;contributors&gt;&lt;authors&gt;&lt;author&gt;Montemurro, Nicola&lt;/author&gt;&lt;author&gt;Orfanioti, Anastasia&lt;/author&gt;&lt;author&gt;Manasfi, Rayana&lt;/author&gt;&lt;author&gt;Thomaidis, Nikolaos S&lt;/author&gt;&lt;author&gt;Pérez, Sandra&lt;/author&gt;&lt;/authors&gt;&lt;/contributors&gt;&lt;titles&gt;&lt;title&gt;Comparison of high resolution MRM and sequential window acquisition of all theoretical fragment-ion acquisition modes for the quantitation of 48 wastewater-borne pollutants in lettuce&lt;/title&gt;&lt;secondary-title&gt;Journal of Chromatography A&lt;/secondary-title&gt;&lt;/titles&gt;&lt;periodical&gt;&lt;full-title&gt;Journal of Chromatography A&lt;/full-title&gt;&lt;/periodical&gt;&lt;pages&gt;461566&lt;/pages&gt;&lt;volume&gt;1631&lt;/volume&gt;&lt;dates&gt;&lt;year&gt;2020&lt;/year&gt;&lt;/dates&gt;&lt;isbn&gt;0021-9673&lt;/isbn&gt;&lt;urls&gt;&lt;/urls&gt;&lt;/record&gt;&lt;/Cite&gt;&lt;/EndNote&gt;</w:instrText>
      </w:r>
      <w:r>
        <w:rPr>
          <w:rFonts w:ascii="Times New Roman" w:hAnsi="Times New Roman" w:cs="Times New Roman"/>
          <w:szCs w:val="24"/>
          <w:lang w:val="en-US"/>
        </w:rPr>
        <w:fldChar w:fldCharType="separate"/>
      </w:r>
      <w:r>
        <w:rPr>
          <w:rFonts w:ascii="Times New Roman" w:hAnsi="Times New Roman" w:cs="Times New Roman"/>
          <w:noProof/>
          <w:szCs w:val="24"/>
          <w:lang w:val="en-US"/>
        </w:rPr>
        <w:t>(Montemurro et al., 2020)</w:t>
      </w:r>
      <w:r>
        <w:rPr>
          <w:rFonts w:ascii="Times New Roman" w:hAnsi="Times New Roman" w:cs="Times New Roman"/>
          <w:szCs w:val="24"/>
          <w:lang w:val="en-US"/>
        </w:rPr>
        <w:fldChar w:fldCharType="end"/>
      </w:r>
      <w:r>
        <w:rPr>
          <w:rFonts w:ascii="Times New Roman" w:hAnsi="Times New Roman" w:cs="Times New Roman"/>
          <w:szCs w:val="24"/>
          <w:lang w:val="en-US"/>
        </w:rPr>
        <w:t xml:space="preserve"> </w:t>
      </w:r>
      <w:r w:rsidR="00572A98">
        <w:rPr>
          <w:rFonts w:ascii="Times New Roman" w:hAnsi="Times New Roman" w:cs="Times New Roman"/>
          <w:szCs w:val="24"/>
          <w:lang w:val="en-US"/>
        </w:rPr>
        <w:t xml:space="preserve">Ref: </w:t>
      </w:r>
      <w:r w:rsidR="00572A98" w:rsidRPr="00572A98">
        <w:rPr>
          <w:rFonts w:ascii="Times New Roman" w:hAnsi="Times New Roman" w:cs="Times New Roman"/>
          <w:szCs w:val="24"/>
          <w:lang w:val="en-US"/>
        </w:rPr>
        <w:t>Journal of Chromatography A 2020; 1631: 461566.</w:t>
      </w:r>
    </w:p>
    <w:p w:rsidR="00FA2A0F" w:rsidRDefault="00FA2A0F" w:rsidP="00FA2A0F">
      <w:pPr>
        <w:jc w:val="both"/>
        <w:rPr>
          <w:rFonts w:ascii="Times New Roman" w:hAnsi="Times New Roman" w:cs="Times New Roman"/>
          <w:szCs w:val="24"/>
          <w:lang w:val="en-US"/>
        </w:rPr>
      </w:pPr>
      <w:r w:rsidRPr="006248AC">
        <w:rPr>
          <w:rFonts w:ascii="Times New Roman" w:hAnsi="Times New Roman" w:cs="Times New Roman"/>
          <w:noProof/>
          <w:szCs w:val="24"/>
          <w:lang w:eastAsia="es-ES"/>
        </w:rPr>
        <w:drawing>
          <wp:inline distT="0" distB="0" distL="0" distR="0" wp14:anchorId="40B0B1B6" wp14:editId="559E628A">
            <wp:extent cx="5400040" cy="2340610"/>
            <wp:effectExtent l="0" t="0" r="0" b="254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6"/>
                    <a:stretch>
                      <a:fillRect/>
                    </a:stretch>
                  </pic:blipFill>
                  <pic:spPr>
                    <a:xfrm>
                      <a:off x="0" y="0"/>
                      <a:ext cx="5400040" cy="2340610"/>
                    </a:xfrm>
                    <a:prstGeom prst="rect">
                      <a:avLst/>
                    </a:prstGeom>
                  </pic:spPr>
                </pic:pic>
              </a:graphicData>
            </a:graphic>
          </wp:inline>
        </w:drawing>
      </w:r>
    </w:p>
    <w:p w:rsidR="006763C6" w:rsidRPr="00572A98" w:rsidRDefault="00FA2A0F" w:rsidP="00FA2A0F">
      <w:pPr>
        <w:spacing w:after="0"/>
        <w:rPr>
          <w:rFonts w:ascii="Times New Roman" w:hAnsi="Times New Roman" w:cs="Times New Roman"/>
          <w:sz w:val="24"/>
          <w:szCs w:val="24"/>
          <w:lang w:val="en-GB"/>
        </w:rPr>
      </w:pPr>
      <w:r w:rsidRPr="00572A98">
        <w:rPr>
          <w:rFonts w:ascii="Times New Roman" w:hAnsi="Times New Roman" w:cs="Times New Roman"/>
          <w:sz w:val="24"/>
          <w:szCs w:val="24"/>
          <w:lang w:val="en-GB"/>
        </w:rPr>
        <w:t>A: Earthworm tissues Positive</w:t>
      </w:r>
    </w:p>
    <w:p w:rsidR="00572A98" w:rsidRDefault="00572A98" w:rsidP="00FA2A0F">
      <w:pPr>
        <w:spacing w:after="0"/>
        <w:rPr>
          <w:rFonts w:ascii="Times New Roman" w:hAnsi="Times New Roman" w:cs="Times New Roman"/>
          <w:lang w:val="en-GB"/>
        </w:rPr>
      </w:pPr>
    </w:p>
    <w:p w:rsidR="00FA2A0F" w:rsidRDefault="00FA2A0F">
      <w:pPr>
        <w:rPr>
          <w:sz w:val="24"/>
          <w:lang w:val="en-GB"/>
        </w:rPr>
      </w:pPr>
      <w:r w:rsidRPr="006248AC">
        <w:rPr>
          <w:rFonts w:ascii="Times New Roman" w:hAnsi="Times New Roman" w:cs="Times New Roman"/>
          <w:noProof/>
          <w:szCs w:val="24"/>
          <w:lang w:eastAsia="es-ES"/>
        </w:rPr>
        <w:drawing>
          <wp:inline distT="0" distB="0" distL="0" distR="0" wp14:anchorId="00E2CC16" wp14:editId="17BC22E3">
            <wp:extent cx="5400040" cy="2386330"/>
            <wp:effectExtent l="0" t="0" r="0" b="0"/>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pic:cNvPicPr>
                      <a:picLocks noChangeAspect="1"/>
                    </pic:cNvPicPr>
                  </pic:nvPicPr>
                  <pic:blipFill>
                    <a:blip r:embed="rId7"/>
                    <a:stretch>
                      <a:fillRect/>
                    </a:stretch>
                  </pic:blipFill>
                  <pic:spPr>
                    <a:xfrm>
                      <a:off x="0" y="0"/>
                      <a:ext cx="5400040" cy="2386330"/>
                    </a:xfrm>
                    <a:prstGeom prst="rect">
                      <a:avLst/>
                    </a:prstGeom>
                  </pic:spPr>
                </pic:pic>
              </a:graphicData>
            </a:graphic>
          </wp:inline>
        </w:drawing>
      </w:r>
    </w:p>
    <w:p w:rsidR="00FA2A0F" w:rsidRPr="00572A98" w:rsidRDefault="00FA2A0F" w:rsidP="00FA2A0F">
      <w:pPr>
        <w:spacing w:after="0" w:line="360" w:lineRule="auto"/>
        <w:rPr>
          <w:rFonts w:ascii="Times New Roman" w:hAnsi="Times New Roman" w:cs="Times New Roman"/>
          <w:sz w:val="24"/>
          <w:szCs w:val="24"/>
          <w:lang w:val="en-GB"/>
        </w:rPr>
      </w:pPr>
      <w:r w:rsidRPr="00572A98">
        <w:rPr>
          <w:rFonts w:ascii="Times New Roman" w:hAnsi="Times New Roman" w:cs="Times New Roman"/>
          <w:sz w:val="24"/>
          <w:szCs w:val="24"/>
          <w:lang w:val="en-GB"/>
        </w:rPr>
        <w:t>A: Earthworm tissues Negative</w:t>
      </w:r>
    </w:p>
    <w:p w:rsidR="00FA2A0F" w:rsidRPr="00572A98" w:rsidRDefault="00FA2A0F" w:rsidP="00FA2A0F">
      <w:pPr>
        <w:jc w:val="both"/>
        <w:rPr>
          <w:rFonts w:ascii="Times New Roman" w:hAnsi="Times New Roman" w:cs="Times New Roman"/>
          <w:sz w:val="24"/>
          <w:szCs w:val="24"/>
          <w:lang w:val="en-GB"/>
        </w:rPr>
      </w:pPr>
      <w:r w:rsidRPr="00572A98">
        <w:rPr>
          <w:rFonts w:ascii="Times New Roman" w:hAnsi="Times New Roman" w:cs="Times New Roman"/>
          <w:b/>
          <w:sz w:val="24"/>
          <w:szCs w:val="24"/>
          <w:lang w:val="en-GB"/>
        </w:rPr>
        <w:t xml:space="preserve">Figure S1. </w:t>
      </w:r>
      <w:r w:rsidRPr="00572A98">
        <w:rPr>
          <w:rFonts w:ascii="Times New Roman" w:hAnsi="Times New Roman" w:cs="Times New Roman"/>
          <w:sz w:val="24"/>
          <w:szCs w:val="24"/>
          <w:lang w:val="en-GB"/>
        </w:rPr>
        <w:t xml:space="preserve">Variable Q1 Window Widths for SWATH Acquisition in positive (A) and negative (B) ionization. Depending on the complexity of the matrices as in the case of tissues of earthworms, the SCIEX Variable Window Calculator automatically generates small Q1 windows in very dense m/z regions where the number of precursors is greater, while larger Q1 windows in the presence of a smaller number of precursors. The m/z density histograms obtained from the TOF-MS data for the compounds of interest (blue line) can be used to define the variable size windows (red line), where the precursor density in each of the isolation windows is normalized across the m/z interval. </w:t>
      </w:r>
    </w:p>
    <w:p w:rsidR="00FA2A0F" w:rsidRPr="00994796" w:rsidRDefault="00572A98" w:rsidP="00572A98">
      <w:pPr>
        <w:rPr>
          <w:sz w:val="24"/>
          <w:lang w:val="en-GB"/>
        </w:rPr>
        <w:sectPr w:rsidR="00FA2A0F" w:rsidRPr="00994796" w:rsidSect="0038008F">
          <w:pgSz w:w="11906" w:h="16838"/>
          <w:pgMar w:top="1418" w:right="1701" w:bottom="1418" w:left="1701" w:header="709" w:footer="709" w:gutter="0"/>
          <w:cols w:space="708"/>
          <w:docGrid w:linePitch="360"/>
        </w:sectPr>
      </w:pPr>
      <w:r w:rsidRPr="00572A98">
        <w:rPr>
          <w:sz w:val="24"/>
          <w:lang w:val="en-GB"/>
        </w:rPr>
        <w:t xml:space="preserve"> </w:t>
      </w:r>
    </w:p>
    <w:p w:rsidR="00CC6B3D" w:rsidRDefault="00B4558C" w:rsidP="00CC6B3D">
      <w:pPr>
        <w:ind w:left="-708" w:hanging="285"/>
        <w:jc w:val="both"/>
        <w:rPr>
          <w:rFonts w:ascii="Times New Roman" w:hAnsi="Times New Roman" w:cs="Times New Roman"/>
          <w:szCs w:val="24"/>
          <w:lang w:val="en-US"/>
        </w:rPr>
      </w:pPr>
      <w:r>
        <w:rPr>
          <w:noProof/>
          <w:lang w:eastAsia="es-ES"/>
        </w:rPr>
        <w:lastRenderedPageBreak/>
        <w:drawing>
          <wp:anchor distT="0" distB="0" distL="114300" distR="114300" simplePos="0" relativeHeight="251659264" behindDoc="0" locked="0" layoutInCell="1" allowOverlap="1" wp14:anchorId="4D7FD11C" wp14:editId="3B85EBE6">
            <wp:simplePos x="0" y="0"/>
            <wp:positionH relativeFrom="column">
              <wp:posOffset>985520</wp:posOffset>
            </wp:positionH>
            <wp:positionV relativeFrom="paragraph">
              <wp:posOffset>-575310</wp:posOffset>
            </wp:positionV>
            <wp:extent cx="7456802" cy="2620501"/>
            <wp:effectExtent l="0" t="0" r="0" b="889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stretch>
                      <a:fillRect/>
                    </a:stretch>
                  </pic:blipFill>
                  <pic:spPr>
                    <a:xfrm>
                      <a:off x="0" y="0"/>
                      <a:ext cx="7469231" cy="2624869"/>
                    </a:xfrm>
                    <a:prstGeom prst="rect">
                      <a:avLst/>
                    </a:prstGeom>
                  </pic:spPr>
                </pic:pic>
              </a:graphicData>
            </a:graphic>
            <wp14:sizeRelH relativeFrom="margin">
              <wp14:pctWidth>0</wp14:pctWidth>
            </wp14:sizeRelH>
            <wp14:sizeRelV relativeFrom="margin">
              <wp14:pctHeight>0</wp14:pctHeight>
            </wp14:sizeRelV>
          </wp:anchor>
        </w:drawing>
      </w:r>
      <w:r>
        <w:rPr>
          <w:noProof/>
          <w:lang w:eastAsia="es-ES"/>
        </w:rPr>
        <mc:AlternateContent>
          <mc:Choice Requires="wps">
            <w:drawing>
              <wp:anchor distT="0" distB="0" distL="114300" distR="114300" simplePos="0" relativeHeight="251664384" behindDoc="0" locked="0" layoutInCell="1" allowOverlap="1" wp14:anchorId="148A7A0B" wp14:editId="1F78ADB9">
                <wp:simplePos x="0" y="0"/>
                <wp:positionH relativeFrom="column">
                  <wp:posOffset>-109220</wp:posOffset>
                </wp:positionH>
                <wp:positionV relativeFrom="paragraph">
                  <wp:posOffset>-567690</wp:posOffset>
                </wp:positionV>
                <wp:extent cx="388248" cy="369332"/>
                <wp:effectExtent l="0" t="0" r="0" b="0"/>
                <wp:wrapNone/>
                <wp:docPr id="11" name="CuadroTexto 4"/>
                <wp:cNvGraphicFramePr/>
                <a:graphic xmlns:a="http://schemas.openxmlformats.org/drawingml/2006/main">
                  <a:graphicData uri="http://schemas.microsoft.com/office/word/2010/wordprocessingShape">
                    <wps:wsp>
                      <wps:cNvSpPr txBox="1"/>
                      <wps:spPr>
                        <a:xfrm>
                          <a:off x="0" y="0"/>
                          <a:ext cx="388248" cy="369332"/>
                        </a:xfrm>
                        <a:prstGeom prst="rect">
                          <a:avLst/>
                        </a:prstGeom>
                        <a:noFill/>
                      </wps:spPr>
                      <wps:txbx>
                        <w:txbxContent>
                          <w:p w:rsidR="00CC6B3D" w:rsidRDefault="00CC6B3D" w:rsidP="00CC6B3D">
                            <w:pPr>
                              <w:pStyle w:val="NormalWeb"/>
                              <w:spacing w:before="0" w:beforeAutospacing="0" w:after="0" w:afterAutospacing="0"/>
                            </w:pPr>
                            <w:r>
                              <w:rPr>
                                <w:rFonts w:asciiTheme="minorHAnsi" w:hAnsi="Calibri" w:cstheme="minorBidi"/>
                                <w:color w:val="000000" w:themeColor="text1"/>
                                <w:kern w:val="24"/>
                                <w:sz w:val="36"/>
                                <w:szCs w:val="36"/>
                                <w:lang w:val="es-ES"/>
                              </w:rPr>
                              <w:t>A)</w:t>
                            </w:r>
                          </w:p>
                        </w:txbxContent>
                      </wps:txbx>
                      <wps:bodyPr wrap="none" rtlCol="0">
                        <a:spAutoFit/>
                      </wps:bodyPr>
                    </wps:wsp>
                  </a:graphicData>
                </a:graphic>
              </wp:anchor>
            </w:drawing>
          </mc:Choice>
          <mc:Fallback xmlns:w16se="http://schemas.microsoft.com/office/word/2015/wordml/symex" xmlns:w15="http://schemas.microsoft.com/office/word/2012/wordml" xmlns:cx="http://schemas.microsoft.com/office/drawing/2014/chartex">
            <w:pict>
              <v:shapetype w14:anchorId="148A7A0B" id="_x0000_t202" coordsize="21600,21600" o:spt="202" path="m,l,21600r21600,l21600,xe">
                <v:stroke joinstyle="miter"/>
                <v:path gradientshapeok="t" o:connecttype="rect"/>
              </v:shapetype>
              <v:shape id="CuadroTexto 4" o:spid="_x0000_s1026" type="#_x0000_t202" style="position:absolute;left:0;text-align:left;margin-left:-8.6pt;margin-top:-44.7pt;width:30.55pt;height:29.1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xblQEAAA8DAAAOAAAAZHJzL2Uyb0RvYy54bWysUttOIzEMfUfaf4jyTqcXhMqoU7SA2Be0&#10;IMF+QJpJOpEmcWSnnenfr5OWguBttS9O4svJ8bFXt6Pvxd4gOQiNnE2mUpigoXVh28g/b4+XSyko&#10;qdCqHoJp5MGQvF3/uFgNsTZz6KBvDQoGCVQPsZFdSrGuKtKd8YomEE3goAX0KvETt1WLamB031fz&#10;6fS6GgDbiKANEXsfjkG5LvjWGp2erSWTRN9I5paKxWI32Vbrlaq3qGLn9ImG+gcWXrnAn56hHlRS&#10;YofuG5R3GoHApokGX4G1TpvSA3czm37p5rVT0ZReWByKZ5no/8Hq3/sXFK7l2c2kCMrzjO53qkV4&#10;M2MCcZUVGiLVnPgaOTWNdzBy9ruf2JkbHy36fHJLguOs9eGsLyMJzc7Fcjm/4oXQHFpc3ywW84xS&#10;fRRHpPTLgBf50kjk8RVV1f6J0jH1PSX/FeDR9X32Z4ZHJvmWxs14or2B9sCsB55wIwOvoBSY+nso&#10;65AxKP7cJcYp8Ln4WHHCZNULwdOG5LF+fpesjz1e/wUAAP//AwBQSwMEFAAGAAgAAAAhAHPNh0bd&#10;AAAACgEAAA8AAABkcnMvZG93bnJldi54bWxMj89SgzAQh+/O+A6ZdcZbG6CogISOU/VsrX2AFLYE&#10;IRuGpC369K4nve2fb377bbme7SDOOPnOkYJ4GYFAql3TUatg//G6yED4oKnRgyNU8IUe1tX1VamL&#10;xl3oHc+70AoOIV9oBSaEsZDS1wat9ks3IvHu6CarA7dTK5tJXzjcDjKJontpdUd8wegRNwbrfney&#10;CrLIvvV9nmy9Tb/jO7N5di/jp1K3N/PTI4iAc/iD4Vef1aFip4M7UePFoGARPySMcpHlKQgm0lUO&#10;4sCDVZyArEr5/4XqBwAA//8DAFBLAQItABQABgAIAAAAIQC2gziS/gAAAOEBAAATAAAAAAAAAAAA&#10;AAAAAAAAAABbQ29udGVudF9UeXBlc10ueG1sUEsBAi0AFAAGAAgAAAAhADj9If/WAAAAlAEAAAsA&#10;AAAAAAAAAAAAAAAALwEAAF9yZWxzLy5yZWxzUEsBAi0AFAAGAAgAAAAhAHqTPFuVAQAADwMAAA4A&#10;AAAAAAAAAAAAAAAALgIAAGRycy9lMm9Eb2MueG1sUEsBAi0AFAAGAAgAAAAhAHPNh0bdAAAACgEA&#10;AA8AAAAAAAAAAAAAAAAA7wMAAGRycy9kb3ducmV2LnhtbFBLBQYAAAAABAAEAPMAAAD5BAAAAAA=&#10;" filled="f" stroked="f">
                <v:textbox style="mso-fit-shape-to-text:t">
                  <w:txbxContent>
                    <w:p w:rsidR="00CC6B3D" w:rsidRDefault="00CC6B3D" w:rsidP="00CC6B3D">
                      <w:pPr>
                        <w:pStyle w:val="NormalWeb"/>
                        <w:spacing w:before="0" w:beforeAutospacing="0" w:after="0" w:afterAutospacing="0"/>
                      </w:pPr>
                      <w:r>
                        <w:rPr>
                          <w:rFonts w:asciiTheme="minorHAnsi" w:hAnsi="Calibri" w:cstheme="minorBidi"/>
                          <w:color w:val="000000" w:themeColor="text1"/>
                          <w:kern w:val="24"/>
                          <w:sz w:val="36"/>
                          <w:szCs w:val="36"/>
                          <w:lang w:val="es-ES"/>
                        </w:rPr>
                        <w:t>A)</w:t>
                      </w:r>
                    </w:p>
                  </w:txbxContent>
                </v:textbox>
              </v:shape>
            </w:pict>
          </mc:Fallback>
        </mc:AlternateContent>
      </w:r>
      <w:r w:rsidR="00CC6B3D">
        <w:rPr>
          <w:noProof/>
          <w:lang w:eastAsia="es-ES"/>
        </w:rPr>
        <mc:AlternateContent>
          <mc:Choice Requires="wps">
            <w:drawing>
              <wp:anchor distT="0" distB="0" distL="114300" distR="114300" simplePos="0" relativeHeight="251662336" behindDoc="0" locked="0" layoutInCell="1" allowOverlap="1" wp14:anchorId="71337015" wp14:editId="5D5FBC47">
                <wp:simplePos x="0" y="0"/>
                <wp:positionH relativeFrom="column">
                  <wp:posOffset>-4370</wp:posOffset>
                </wp:positionH>
                <wp:positionV relativeFrom="paragraph">
                  <wp:posOffset>3847</wp:posOffset>
                </wp:positionV>
                <wp:extent cx="384810" cy="370205"/>
                <wp:effectExtent l="0" t="0" r="0" b="0"/>
                <wp:wrapNone/>
                <wp:docPr id="8" name="CuadroTexto 4"/>
                <wp:cNvGraphicFramePr/>
                <a:graphic xmlns:a="http://schemas.openxmlformats.org/drawingml/2006/main">
                  <a:graphicData uri="http://schemas.microsoft.com/office/word/2010/wordprocessingShape">
                    <wps:wsp>
                      <wps:cNvSpPr txBox="1"/>
                      <wps:spPr>
                        <a:xfrm>
                          <a:off x="0" y="0"/>
                          <a:ext cx="384810" cy="370205"/>
                        </a:xfrm>
                        <a:prstGeom prst="rect">
                          <a:avLst/>
                        </a:prstGeom>
                        <a:noFill/>
                      </wps:spPr>
                      <wps:txbx>
                        <w:txbxContent>
                          <w:p w:rsidR="00CC6B3D" w:rsidRDefault="00CC6B3D" w:rsidP="00CC6B3D">
                            <w:pPr>
                              <w:pStyle w:val="NormalWeb"/>
                              <w:spacing w:before="0" w:beforeAutospacing="0" w:after="0" w:afterAutospacing="0"/>
                              <w:ind w:left="-1134"/>
                            </w:pPr>
                            <w:r>
                              <w:rPr>
                                <w:rFonts w:asciiTheme="minorHAnsi" w:hAnsi="Calibri" w:cstheme="minorBidi"/>
                                <w:color w:val="000000" w:themeColor="text1"/>
                                <w:kern w:val="24"/>
                                <w:sz w:val="36"/>
                                <w:szCs w:val="36"/>
                                <w:lang w:val="es-ES"/>
                              </w:rPr>
                              <w:t>A)</w:t>
                            </w:r>
                          </w:p>
                        </w:txbxContent>
                      </wps:txbx>
                      <wps:bodyPr wrap="non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71337015" id="_x0000_s1027" type="#_x0000_t202" style="position:absolute;left:0;text-align:left;margin-left:-.35pt;margin-top:.3pt;width:30.3pt;height:29.1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IjlwEAABUDAAAOAAAAZHJzL2Uyb0RvYy54bWysUk1v2zAMvQ/ofxB0b+yk7RYYcYqtRXsp&#10;tgHtfoAiS7EASxRIJXb+fSklTYf1VuyiD5J6eu+Rq9vJD2JvkByEVs5ntRQmaOhc2Lbyz8vD5VIK&#10;Sip0aoBgWnkwJG/XF19WY2zMAnoYOoOCQQI1Y2xln1Jsqop0b7yiGUQTOGkBvUp8xW3VoRoZ3Q/V&#10;oq6/ViNgFxG0IeLo/TEp1wXfWqPTL2vJJDG0krmlsmJZN3mt1ivVbFHF3ukTDfUJFl65wJ+eoe5V&#10;UmKH7gOUdxqBwKaZBl+BtU6booHVzOt/1Dz3Kpqihc2heLaJ/h+s/rn/jcJ1reRGBeW5RXc71SG8&#10;mCmBuM4GjZEarnuOXJmmHzBxo9/ixMGse7Lo886KBOfZ6sPZXkYSmoNXy+vlnDOaU1ff6kV9k1Gq&#10;98cRKT0a8CIfWoncvWKq2j9ROpa+leS/Ajy4YcjxzPDIJJ/StJmKpDPLDXQHJj9yn1sZeBClwDTc&#10;QRmKDEXx+y4xXPklYxxfnKDZ+8LzNCe5uX/fS9X7NK9fAQAA//8DAFBLAwQUAAYACAAAACEAT6r5&#10;4NkAAAAEAQAADwAAAGRycy9kb3ducmV2LnhtbEyOwW7CMBBE75X4B2uRegMHVGgS4iBE23Nb2g8w&#10;8RKHxOsoNpD267s9tafRaEYzr9iOrhNXHELjScFinoBAqrxpqFbw+fEyS0GEqMnozhMq+MIA23Jy&#10;V+jc+Bu94/UQa8EjFHKtwMbY51KGyqLTYe57JM5OfnA6sh1qaQZ943HXyWWSrKXTDfGD1T3uLVbt&#10;4eIUpIl7bdts+Rbcw/diZfdP/rk/K3U/HXcbEBHH+FeGX3xGh5KZjv5CJohOweyRiwrWIDhcZRmI&#10;I2uagSwL+R++/AEAAP//AwBQSwECLQAUAAYACAAAACEAtoM4kv4AAADhAQAAEwAAAAAAAAAAAAAA&#10;AAAAAAAAW0NvbnRlbnRfVHlwZXNdLnhtbFBLAQItABQABgAIAAAAIQA4/SH/1gAAAJQBAAALAAAA&#10;AAAAAAAAAAAAAC8BAABfcmVscy8ucmVsc1BLAQItABQABgAIAAAAIQCsEHIjlwEAABUDAAAOAAAA&#10;AAAAAAAAAAAAAC4CAABkcnMvZTJvRG9jLnhtbFBLAQItABQABgAIAAAAIQBPqvng2QAAAAQBAAAP&#10;AAAAAAAAAAAAAAAAAPEDAABkcnMvZG93bnJldi54bWxQSwUGAAAAAAQABADzAAAA9wQAAAAA&#10;" filled="f" stroked="f">
                <v:textbox style="mso-fit-shape-to-text:t">
                  <w:txbxContent>
                    <w:p w:rsidR="00CC6B3D" w:rsidRDefault="00CC6B3D" w:rsidP="00CC6B3D">
                      <w:pPr>
                        <w:pStyle w:val="NormalWeb"/>
                        <w:spacing w:before="0" w:beforeAutospacing="0" w:after="0" w:afterAutospacing="0"/>
                        <w:ind w:left="-1134"/>
                      </w:pPr>
                      <w:r>
                        <w:rPr>
                          <w:rFonts w:asciiTheme="minorHAnsi" w:hAnsi="Calibri" w:cstheme="minorBidi"/>
                          <w:color w:val="000000" w:themeColor="text1"/>
                          <w:kern w:val="24"/>
                          <w:sz w:val="36"/>
                          <w:szCs w:val="36"/>
                          <w:lang w:val="es-ES"/>
                        </w:rPr>
                        <w:t>A)</w:t>
                      </w:r>
                    </w:p>
                  </w:txbxContent>
                </v:textbox>
              </v:shape>
            </w:pict>
          </mc:Fallback>
        </mc:AlternateContent>
      </w: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CC6B3D" w:rsidP="00042CAF">
      <w:pPr>
        <w:jc w:val="both"/>
        <w:rPr>
          <w:rFonts w:ascii="Times New Roman" w:hAnsi="Times New Roman" w:cs="Times New Roman"/>
          <w:szCs w:val="24"/>
          <w:lang w:val="en-US"/>
        </w:rPr>
      </w:pPr>
    </w:p>
    <w:p w:rsidR="00CC6B3D" w:rsidRDefault="00B4558C" w:rsidP="00B4558C">
      <w:pPr>
        <w:ind w:left="1560"/>
        <w:jc w:val="both"/>
        <w:rPr>
          <w:rFonts w:ascii="Times New Roman" w:hAnsi="Times New Roman" w:cs="Times New Roman"/>
          <w:szCs w:val="24"/>
          <w:lang w:val="en-US"/>
        </w:rPr>
      </w:pPr>
      <w:r>
        <w:rPr>
          <w:noProof/>
          <w:lang w:eastAsia="es-ES"/>
        </w:rPr>
        <mc:AlternateContent>
          <mc:Choice Requires="wps">
            <w:drawing>
              <wp:anchor distT="0" distB="0" distL="114300" distR="114300" simplePos="0" relativeHeight="251660288" behindDoc="0" locked="0" layoutInCell="1" allowOverlap="1" wp14:anchorId="20CBBA55" wp14:editId="42B81A42">
                <wp:simplePos x="0" y="0"/>
                <wp:positionH relativeFrom="column">
                  <wp:posOffset>-8255</wp:posOffset>
                </wp:positionH>
                <wp:positionV relativeFrom="paragraph">
                  <wp:posOffset>120650</wp:posOffset>
                </wp:positionV>
                <wp:extent cx="388248" cy="369332"/>
                <wp:effectExtent l="0" t="0" r="0" b="0"/>
                <wp:wrapNone/>
                <wp:docPr id="5" name="CuadroTexto 4"/>
                <wp:cNvGraphicFramePr/>
                <a:graphic xmlns:a="http://schemas.openxmlformats.org/drawingml/2006/main">
                  <a:graphicData uri="http://schemas.microsoft.com/office/word/2010/wordprocessingShape">
                    <wps:wsp>
                      <wps:cNvSpPr txBox="1"/>
                      <wps:spPr>
                        <a:xfrm>
                          <a:off x="0" y="0"/>
                          <a:ext cx="388248" cy="369332"/>
                        </a:xfrm>
                        <a:prstGeom prst="rect">
                          <a:avLst/>
                        </a:prstGeom>
                        <a:noFill/>
                      </wps:spPr>
                      <wps:txbx>
                        <w:txbxContent>
                          <w:p w:rsidR="00CC6B3D" w:rsidRDefault="00CC6B3D" w:rsidP="00CC6B3D">
                            <w:pPr>
                              <w:pStyle w:val="NormalWeb"/>
                              <w:spacing w:before="0" w:beforeAutospacing="0" w:after="0" w:afterAutospacing="0"/>
                            </w:pPr>
                            <w:r>
                              <w:rPr>
                                <w:rFonts w:asciiTheme="minorHAnsi" w:hAnsi="Calibri" w:cstheme="minorBidi"/>
                                <w:color w:val="000000" w:themeColor="text1"/>
                                <w:kern w:val="24"/>
                                <w:sz w:val="36"/>
                                <w:szCs w:val="36"/>
                                <w:lang w:val="es-ES"/>
                              </w:rPr>
                              <w:t>B)</w:t>
                            </w:r>
                          </w:p>
                        </w:txbxContent>
                      </wps:txbx>
                      <wps:bodyPr wrap="square" rtlCol="0">
                        <a:spAutoFit/>
                      </wps:bodyPr>
                    </wps:wsp>
                  </a:graphicData>
                </a:graphic>
              </wp:anchor>
            </w:drawing>
          </mc:Choice>
          <mc:Fallback xmlns:w16se="http://schemas.microsoft.com/office/word/2015/wordml/symex" xmlns:w15="http://schemas.microsoft.com/office/word/2012/wordml" xmlns:cx="http://schemas.microsoft.com/office/drawing/2014/chartex">
            <w:pict>
              <v:shape w14:anchorId="20CBBA55" id="_x0000_s1028" type="#_x0000_t202" style="position:absolute;left:0;text-align:left;margin-left:-.65pt;margin-top:9.5pt;width:30.55pt;height:29.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S5mQEAABcDAAAOAAAAZHJzL2Uyb0RvYy54bWysUstuGzEMvBfoPwi61+vYaeAsvA7yQHop&#10;kgJJP0DWSl4BK1ElZe/670vJjh20tyAXPUhqNDPk8mb0vdgZJAehkReTqRQmaGhd2DTy9+vjt4UU&#10;lFRoVQ/BNHJvSN6svn5ZDrE2M+igbw0KBglUD7GRXUqxrirSnfGKJhBN4KQF9CrxFTdVi2pgdN9X&#10;s+n0qhoA24igDRFHHw5JuSr41hqdnq0lk0TfSOaWyoplXee1Wi1VvUEVO6ePNNQHWHjlAn96gnpQ&#10;SYktuv+gvNMIBDZNNPgKrHXaFA2s5mL6j5qXTkVTtLA5FE820efB6qfdLxSubeR3KYLy3KL7rWoR&#10;Xs2YQFxmg4ZINde9RK5M4x2M3Oi3OHEw6x4t+ryzIsF5tnp/speRhObgfLGYXfI8aE7Nr67n81lG&#10;qc6PI1L6YcCLfGgkcveKqWr3k9Kh9K0k/xXg0fV9jmeGByb5lMb1WCQV/BxZQ7tn8gP3uZH0Z6vQ&#10;SIGpv4cyFhmM4u02MWD55/zmCM7uF6bHScntfX8vVed5Xv0FAAD//wMAUEsDBBQABgAIAAAAIQAm&#10;6VDc3AAAAAcBAAAPAAAAZHJzL2Rvd25yZXYueG1sTI/NTsMwEITvSLyDtUjcWidFpTSNU1X8SBy4&#10;UMJ9G2+TiHgdxW6Tvj3LiR53ZjT7Tb6dXKfONITWs4F0noAirrxtuTZQfr3NnkCFiGyx80wGLhRg&#10;W9ze5JhZP/InnfexVlLCIUMDTYx9pnWoGnIY5r4nFu/oB4dRzqHWdsBRyl2nF0nyqB22LB8a7Om5&#10;oepnf3IGYrS79FK+uvD+PX28jE1SLbE05v5u2m1ARZrifxj+8AUdCmE6+BPboDoDs/RBkqKvZZL4&#10;y7UsORhYrRagi1xf8xe/AAAA//8DAFBLAQItABQABgAIAAAAIQC2gziS/gAAAOEBAAATAAAAAAAA&#10;AAAAAAAAAAAAAABbQ29udGVudF9UeXBlc10ueG1sUEsBAi0AFAAGAAgAAAAhADj9If/WAAAAlAEA&#10;AAsAAAAAAAAAAAAAAAAALwEAAF9yZWxzLy5yZWxzUEsBAi0AFAAGAAgAAAAhAOlxtLmZAQAAFwMA&#10;AA4AAAAAAAAAAAAAAAAALgIAAGRycy9lMm9Eb2MueG1sUEsBAi0AFAAGAAgAAAAhACbpUNzcAAAA&#10;BwEAAA8AAAAAAAAAAAAAAAAA8wMAAGRycy9kb3ducmV2LnhtbFBLBQYAAAAABAAEAPMAAAD8BAAA&#10;AAA=&#10;" filled="f" stroked="f">
                <v:textbox style="mso-fit-shape-to-text:t">
                  <w:txbxContent>
                    <w:p w:rsidR="00CC6B3D" w:rsidRDefault="00CC6B3D" w:rsidP="00CC6B3D">
                      <w:pPr>
                        <w:pStyle w:val="NormalWeb"/>
                        <w:spacing w:before="0" w:beforeAutospacing="0" w:after="0" w:afterAutospacing="0"/>
                      </w:pPr>
                      <w:r>
                        <w:rPr>
                          <w:rFonts w:asciiTheme="minorHAnsi" w:hAnsi="Calibri" w:cstheme="minorBidi"/>
                          <w:color w:val="000000" w:themeColor="text1"/>
                          <w:kern w:val="24"/>
                          <w:sz w:val="36"/>
                          <w:szCs w:val="36"/>
                          <w:lang w:val="es-ES"/>
                        </w:rPr>
                        <w:t>B)</w:t>
                      </w:r>
                    </w:p>
                  </w:txbxContent>
                </v:textbox>
              </v:shape>
            </w:pict>
          </mc:Fallback>
        </mc:AlternateContent>
      </w:r>
      <w:r>
        <w:rPr>
          <w:noProof/>
          <w:lang w:eastAsia="es-ES"/>
        </w:rPr>
        <w:drawing>
          <wp:inline distT="0" distB="0" distL="0" distR="0" wp14:anchorId="0DD0AE77" wp14:editId="19C1CA79">
            <wp:extent cx="7353300" cy="255651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9"/>
                    <a:stretch>
                      <a:fillRect/>
                    </a:stretch>
                  </pic:blipFill>
                  <pic:spPr>
                    <a:xfrm>
                      <a:off x="0" y="0"/>
                      <a:ext cx="7365189" cy="2560643"/>
                    </a:xfrm>
                    <a:prstGeom prst="rect">
                      <a:avLst/>
                    </a:prstGeom>
                  </pic:spPr>
                </pic:pic>
              </a:graphicData>
            </a:graphic>
          </wp:inline>
        </w:drawing>
      </w:r>
    </w:p>
    <w:p w:rsidR="006763C6" w:rsidRPr="00DB1C51" w:rsidRDefault="00B4558C" w:rsidP="00DB1C51">
      <w:pPr>
        <w:jc w:val="both"/>
        <w:rPr>
          <w:rFonts w:ascii="Times New Roman" w:hAnsi="Times New Roman" w:cs="Times New Roman"/>
          <w:sz w:val="24"/>
          <w:szCs w:val="24"/>
          <w:lang w:val="en-US"/>
        </w:rPr>
      </w:pPr>
      <w:r>
        <w:rPr>
          <w:rFonts w:ascii="Times New Roman" w:eastAsia="+mn-ea" w:hAnsi="Times New Roman" w:cs="Times New Roman"/>
          <w:b/>
          <w:color w:val="000000"/>
          <w:kern w:val="24"/>
          <w:sz w:val="24"/>
          <w:szCs w:val="24"/>
          <w:lang w:val="en-US" w:eastAsia="en-GB"/>
        </w:rPr>
        <w:t>F</w:t>
      </w:r>
      <w:r w:rsidR="00CC6B3D" w:rsidRPr="00B75733">
        <w:rPr>
          <w:rFonts w:ascii="Times New Roman" w:eastAsia="+mn-ea" w:hAnsi="Times New Roman" w:cs="Times New Roman"/>
          <w:b/>
          <w:color w:val="000000"/>
          <w:kern w:val="24"/>
          <w:sz w:val="24"/>
          <w:szCs w:val="24"/>
          <w:lang w:val="en-US" w:eastAsia="en-GB"/>
        </w:rPr>
        <w:t>igure S</w:t>
      </w:r>
      <w:r w:rsidR="00DC1EB3">
        <w:rPr>
          <w:rFonts w:ascii="Times New Roman" w:eastAsia="+mn-ea" w:hAnsi="Times New Roman" w:cs="Times New Roman"/>
          <w:b/>
          <w:color w:val="000000"/>
          <w:kern w:val="24"/>
          <w:sz w:val="24"/>
          <w:szCs w:val="24"/>
          <w:lang w:val="en-US" w:eastAsia="en-GB"/>
        </w:rPr>
        <w:t>2</w:t>
      </w:r>
      <w:r w:rsidR="00CC6B3D" w:rsidRPr="00CC6B3D">
        <w:rPr>
          <w:rFonts w:ascii="Times New Roman" w:eastAsia="+mn-ea" w:hAnsi="Times New Roman" w:cs="Times New Roman"/>
          <w:color w:val="000000"/>
          <w:kern w:val="24"/>
          <w:sz w:val="24"/>
          <w:szCs w:val="24"/>
          <w:lang w:val="en-US" w:eastAsia="en-GB"/>
        </w:rPr>
        <w:t>. Discrimination of isobaric compounds</w:t>
      </w:r>
      <w:r w:rsidR="00DB1C51">
        <w:rPr>
          <w:rFonts w:ascii="Times New Roman" w:eastAsia="+mn-ea" w:hAnsi="Times New Roman" w:cs="Times New Roman"/>
          <w:color w:val="000000"/>
          <w:kern w:val="24"/>
          <w:sz w:val="24"/>
          <w:szCs w:val="24"/>
          <w:lang w:val="en-US" w:eastAsia="en-GB"/>
        </w:rPr>
        <w:t xml:space="preserve"> using </w:t>
      </w:r>
      <w:r w:rsidR="00DB1C51">
        <w:rPr>
          <w:rFonts w:ascii="Times New Roman" w:hAnsi="Times New Roman" w:cs="Times New Roman"/>
          <w:sz w:val="24"/>
          <w:szCs w:val="24"/>
          <w:lang w:val="en-US"/>
        </w:rPr>
        <w:t>SCIEX built-in spectral library</w:t>
      </w:r>
      <w:r w:rsidR="00CC6B3D" w:rsidRPr="00CC6B3D">
        <w:rPr>
          <w:rFonts w:ascii="Times New Roman" w:eastAsia="+mn-ea" w:hAnsi="Times New Roman" w:cs="Times New Roman"/>
          <w:color w:val="000000"/>
          <w:kern w:val="24"/>
          <w:sz w:val="24"/>
          <w:szCs w:val="24"/>
          <w:lang w:val="en-US" w:eastAsia="en-GB"/>
        </w:rPr>
        <w:t>:</w:t>
      </w:r>
      <w:r w:rsidR="00CC6B3D">
        <w:rPr>
          <w:rFonts w:ascii="Times New Roman" w:eastAsia="+mn-ea" w:hAnsi="Times New Roman" w:cs="Times New Roman"/>
          <w:color w:val="000000"/>
          <w:kern w:val="24"/>
          <w:sz w:val="24"/>
          <w:szCs w:val="24"/>
          <w:lang w:val="en-US" w:eastAsia="en-GB"/>
        </w:rPr>
        <w:t xml:space="preserve"> </w:t>
      </w:r>
      <w:r w:rsidR="00DB1C51">
        <w:rPr>
          <w:rFonts w:ascii="Times New Roman" w:eastAsia="+mn-ea" w:hAnsi="Times New Roman" w:cs="Times New Roman"/>
          <w:color w:val="000000"/>
          <w:kern w:val="24"/>
          <w:sz w:val="24"/>
          <w:szCs w:val="24"/>
          <w:lang w:val="en-US" w:eastAsia="en-GB"/>
        </w:rPr>
        <w:t>A</w:t>
      </w:r>
      <w:r w:rsidR="00CC6B3D">
        <w:rPr>
          <w:rFonts w:ascii="Times New Roman" w:eastAsia="+mn-ea" w:hAnsi="Times New Roman" w:cs="Times New Roman"/>
          <w:color w:val="000000"/>
          <w:kern w:val="24"/>
          <w:sz w:val="24"/>
          <w:szCs w:val="24"/>
          <w:lang w:val="en-US" w:eastAsia="en-GB"/>
        </w:rPr>
        <w:t xml:space="preserve">) </w:t>
      </w:r>
      <w:proofErr w:type="spellStart"/>
      <w:r w:rsidR="00CC6B3D" w:rsidRPr="00CC6B3D">
        <w:rPr>
          <w:rFonts w:ascii="Times New Roman" w:eastAsia="+mn-ea" w:hAnsi="Times New Roman" w:cs="Times New Roman"/>
          <w:color w:val="000000"/>
          <w:kern w:val="24"/>
          <w:sz w:val="24"/>
          <w:szCs w:val="24"/>
          <w:lang w:val="en-GB" w:eastAsia="en-GB"/>
        </w:rPr>
        <w:t>Norcocaine</w:t>
      </w:r>
      <w:proofErr w:type="spellEnd"/>
      <w:r w:rsidR="00CC6B3D" w:rsidRPr="00CC6B3D">
        <w:rPr>
          <w:rFonts w:ascii="Times New Roman" w:eastAsia="+mn-ea" w:hAnsi="Times New Roman" w:cs="Times New Roman"/>
          <w:color w:val="000000"/>
          <w:kern w:val="24"/>
          <w:sz w:val="24"/>
          <w:szCs w:val="24"/>
          <w:lang w:val="en-GB" w:eastAsia="en-GB"/>
        </w:rPr>
        <w:t xml:space="preserve"> C16H19NO4 290.1386 (m/z) </w:t>
      </w:r>
      <w:r w:rsidR="00CC6B3D" w:rsidRPr="00DB1C51">
        <w:rPr>
          <w:rFonts w:ascii="Times New Roman" w:eastAsia="+mn-ea" w:hAnsi="Times New Roman" w:cs="Times New Roman"/>
          <w:color w:val="000000"/>
          <w:kern w:val="24"/>
          <w:sz w:val="24"/>
          <w:szCs w:val="24"/>
          <w:lang w:val="en-GB" w:eastAsia="en-GB"/>
        </w:rPr>
        <w:t xml:space="preserve">RT: 5.0 and B) </w:t>
      </w:r>
      <w:proofErr w:type="spellStart"/>
      <w:r w:rsidR="00CC6B3D" w:rsidRPr="00CC6B3D">
        <w:rPr>
          <w:rFonts w:ascii="Times New Roman" w:eastAsia="+mn-ea" w:hAnsi="Times New Roman" w:cs="Times New Roman"/>
          <w:color w:val="000000"/>
          <w:kern w:val="24"/>
          <w:sz w:val="24"/>
          <w:szCs w:val="24"/>
          <w:lang w:val="en-GB" w:eastAsia="en-GB"/>
        </w:rPr>
        <w:t>Benzoylecgonine</w:t>
      </w:r>
      <w:proofErr w:type="spellEnd"/>
      <w:r w:rsidR="00CC6B3D" w:rsidRPr="00CC6B3D">
        <w:rPr>
          <w:rFonts w:ascii="Times New Roman" w:eastAsia="+mn-ea" w:hAnsi="Times New Roman" w:cs="Times New Roman"/>
          <w:color w:val="000000"/>
          <w:kern w:val="24"/>
          <w:sz w:val="24"/>
          <w:szCs w:val="24"/>
          <w:lang w:val="en-GB" w:eastAsia="en-GB"/>
        </w:rPr>
        <w:t xml:space="preserve"> C16H19NO4 290.1386 (m/z) </w:t>
      </w:r>
      <w:r w:rsidR="00CC6B3D" w:rsidRPr="00DB1C51">
        <w:rPr>
          <w:rFonts w:ascii="Times New Roman" w:eastAsia="+mn-ea" w:hAnsi="Times New Roman" w:cs="Times New Roman"/>
          <w:color w:val="000000"/>
          <w:kern w:val="24"/>
          <w:sz w:val="24"/>
          <w:szCs w:val="24"/>
          <w:lang w:val="en-GB" w:eastAsia="en-GB"/>
        </w:rPr>
        <w:t>RT: 3.5</w:t>
      </w:r>
      <w:r w:rsidR="00B75733" w:rsidRPr="00DB1C51">
        <w:rPr>
          <w:rFonts w:ascii="Times New Roman" w:eastAsia="+mn-ea" w:hAnsi="Times New Roman" w:cs="Times New Roman"/>
          <w:color w:val="000000"/>
          <w:kern w:val="24"/>
          <w:sz w:val="24"/>
          <w:szCs w:val="24"/>
          <w:lang w:val="en-GB" w:eastAsia="en-GB"/>
        </w:rPr>
        <w:t>.</w:t>
      </w:r>
    </w:p>
    <w:p w:rsidR="00B75733" w:rsidRPr="00DB1C51" w:rsidRDefault="00B75733" w:rsidP="00CC6B3D">
      <w:pPr>
        <w:spacing w:after="0" w:line="240" w:lineRule="auto"/>
        <w:jc w:val="both"/>
        <w:rPr>
          <w:rFonts w:ascii="Times New Roman" w:eastAsia="+mn-ea" w:hAnsi="Times New Roman" w:cs="Times New Roman"/>
          <w:color w:val="000000"/>
          <w:kern w:val="24"/>
          <w:sz w:val="24"/>
          <w:szCs w:val="24"/>
          <w:lang w:val="en-GB" w:eastAsia="en-GB"/>
        </w:rPr>
      </w:pPr>
    </w:p>
    <w:p w:rsidR="00B75733" w:rsidRPr="00DB1C51" w:rsidRDefault="00B75733" w:rsidP="00CC6B3D">
      <w:pPr>
        <w:spacing w:after="0" w:line="240" w:lineRule="auto"/>
        <w:jc w:val="both"/>
        <w:rPr>
          <w:rFonts w:ascii="Times New Roman" w:eastAsia="+mn-ea" w:hAnsi="Times New Roman" w:cs="Times New Roman"/>
          <w:color w:val="000000"/>
          <w:kern w:val="24"/>
          <w:sz w:val="24"/>
          <w:szCs w:val="24"/>
          <w:lang w:val="en-GB" w:eastAsia="en-GB"/>
        </w:rPr>
      </w:pPr>
    </w:p>
    <w:p w:rsidR="00B75733" w:rsidRDefault="00B75733" w:rsidP="00CC6B3D">
      <w:pPr>
        <w:spacing w:after="0" w:line="24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es-ES"/>
        </w:rPr>
        <w:drawing>
          <wp:inline distT="0" distB="0" distL="0" distR="0" wp14:anchorId="0822EB10">
            <wp:extent cx="8416613" cy="3019425"/>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59751" cy="3034900"/>
                    </a:xfrm>
                    <a:prstGeom prst="rect">
                      <a:avLst/>
                    </a:prstGeom>
                    <a:noFill/>
                  </pic:spPr>
                </pic:pic>
              </a:graphicData>
            </a:graphic>
          </wp:inline>
        </w:drawing>
      </w:r>
    </w:p>
    <w:p w:rsidR="00B75733" w:rsidRDefault="00B75733" w:rsidP="00CC6B3D">
      <w:pPr>
        <w:spacing w:after="0" w:line="240" w:lineRule="auto"/>
        <w:jc w:val="both"/>
        <w:rPr>
          <w:rFonts w:ascii="Times New Roman" w:hAnsi="Times New Roman" w:cs="Times New Roman"/>
          <w:sz w:val="24"/>
          <w:szCs w:val="24"/>
          <w:lang w:val="en-US"/>
        </w:rPr>
      </w:pPr>
    </w:p>
    <w:p w:rsidR="00B75733" w:rsidRPr="00CC6B3D" w:rsidRDefault="00B75733" w:rsidP="00B75733">
      <w:pPr>
        <w:rPr>
          <w:rFonts w:ascii="Times New Roman" w:hAnsi="Times New Roman" w:cs="Times New Roman"/>
          <w:sz w:val="24"/>
          <w:szCs w:val="24"/>
          <w:lang w:val="en-US"/>
        </w:rPr>
      </w:pPr>
      <w:r w:rsidRPr="00B75733">
        <w:rPr>
          <w:rFonts w:ascii="Times New Roman" w:hAnsi="Times New Roman" w:cs="Times New Roman"/>
          <w:b/>
          <w:sz w:val="24"/>
          <w:szCs w:val="24"/>
          <w:lang w:val="en-US"/>
        </w:rPr>
        <w:t>Figure S</w:t>
      </w:r>
      <w:r w:rsidR="00DC1EB3">
        <w:rPr>
          <w:rFonts w:ascii="Times New Roman" w:hAnsi="Times New Roman" w:cs="Times New Roman"/>
          <w:b/>
          <w:sz w:val="24"/>
          <w:szCs w:val="24"/>
          <w:lang w:val="en-US"/>
        </w:rPr>
        <w:t>3</w:t>
      </w:r>
      <w:r w:rsidRPr="00B75733">
        <w:rPr>
          <w:rFonts w:ascii="Times New Roman" w:hAnsi="Times New Roman" w:cs="Times New Roman"/>
          <w:sz w:val="24"/>
          <w:szCs w:val="24"/>
          <w:lang w:val="en-US"/>
        </w:rPr>
        <w:t xml:space="preserve">. </w:t>
      </w:r>
      <w:r w:rsidR="00DB1C51" w:rsidRPr="00DB1C51">
        <w:rPr>
          <w:rFonts w:ascii="Times New Roman" w:hAnsi="Times New Roman" w:cs="Times New Roman"/>
          <w:sz w:val="24"/>
          <w:szCs w:val="24"/>
          <w:lang w:val="en-US"/>
        </w:rPr>
        <w:t xml:space="preserve">Target identification of </w:t>
      </w:r>
      <w:proofErr w:type="spellStart"/>
      <w:r w:rsidR="00DB1C51">
        <w:rPr>
          <w:rFonts w:ascii="Times New Roman" w:hAnsi="Times New Roman" w:cs="Times New Roman"/>
          <w:sz w:val="24"/>
          <w:szCs w:val="24"/>
          <w:lang w:val="en-US"/>
        </w:rPr>
        <w:t>C</w:t>
      </w:r>
      <w:r w:rsidR="00DB1C51" w:rsidRPr="00B75733">
        <w:rPr>
          <w:rFonts w:ascii="Times New Roman" w:hAnsi="Times New Roman" w:cs="Times New Roman"/>
          <w:sz w:val="24"/>
          <w:szCs w:val="24"/>
          <w:lang w:val="en-US"/>
        </w:rPr>
        <w:t>ocaethylene</w:t>
      </w:r>
      <w:proofErr w:type="spellEnd"/>
      <w:r w:rsidR="00DB1C51" w:rsidRPr="00DB1C51">
        <w:rPr>
          <w:rFonts w:ascii="Times New Roman" w:hAnsi="Times New Roman" w:cs="Times New Roman"/>
          <w:sz w:val="24"/>
          <w:szCs w:val="24"/>
          <w:lang w:val="en-US"/>
        </w:rPr>
        <w:t xml:space="preserve"> using reference standard</w:t>
      </w:r>
      <w:r w:rsidR="00DB1C51">
        <w:rPr>
          <w:rFonts w:ascii="Times New Roman" w:hAnsi="Times New Roman" w:cs="Times New Roman"/>
          <w:sz w:val="24"/>
          <w:szCs w:val="24"/>
          <w:lang w:val="en-US"/>
        </w:rPr>
        <w:t xml:space="preserve"> and SCIEX built-in spectral library</w:t>
      </w:r>
    </w:p>
    <w:sectPr w:rsidR="00B75733" w:rsidRPr="00CC6B3D" w:rsidSect="00B4558C">
      <w:pgSz w:w="16838" w:h="11906"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A6866"/>
    <w:multiLevelType w:val="hybridMultilevel"/>
    <w:tmpl w:val="3AF8AA2E"/>
    <w:lvl w:ilvl="0" w:tplc="E2265C6E">
      <w:start w:val="1"/>
      <w:numFmt w:val="upperLetter"/>
      <w:lvlText w:val="%1)"/>
      <w:lvlJc w:val="left"/>
      <w:pPr>
        <w:ind w:left="720" w:hanging="360"/>
      </w:pPr>
      <w:rPr>
        <w:rFonts w:ascii="Calibri" w:eastAsia="+mn-ea" w:hAnsi="Calibri" w:cs="+mn-cs" w:hint="default"/>
        <w:color w:val="00000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cience Total Envir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0r0ew9tps9aieppfxpsedwzewte55rr59p&quot;&gt;My EndNote Library-Converted&lt;record-ids&gt;&lt;item&gt;385&lt;/item&gt;&lt;/record-ids&gt;&lt;/item&gt;&lt;/Libraries&gt;"/>
  </w:docVars>
  <w:rsids>
    <w:rsidRoot w:val="00CC3DEC"/>
    <w:rsid w:val="00042CAF"/>
    <w:rsid w:val="000D5C71"/>
    <w:rsid w:val="00212713"/>
    <w:rsid w:val="002613CF"/>
    <w:rsid w:val="002D7837"/>
    <w:rsid w:val="0038008F"/>
    <w:rsid w:val="003809D6"/>
    <w:rsid w:val="003F0E67"/>
    <w:rsid w:val="00421E32"/>
    <w:rsid w:val="00503F16"/>
    <w:rsid w:val="00572A98"/>
    <w:rsid w:val="005F5B40"/>
    <w:rsid w:val="006248AC"/>
    <w:rsid w:val="00650AC1"/>
    <w:rsid w:val="006763C6"/>
    <w:rsid w:val="006B6D34"/>
    <w:rsid w:val="006C6E6E"/>
    <w:rsid w:val="00704A4F"/>
    <w:rsid w:val="008F1332"/>
    <w:rsid w:val="00994796"/>
    <w:rsid w:val="00A8397E"/>
    <w:rsid w:val="00B0150A"/>
    <w:rsid w:val="00B4558C"/>
    <w:rsid w:val="00B75733"/>
    <w:rsid w:val="00C7332F"/>
    <w:rsid w:val="00C82F66"/>
    <w:rsid w:val="00CC3DEC"/>
    <w:rsid w:val="00CC6B3D"/>
    <w:rsid w:val="00DB1C51"/>
    <w:rsid w:val="00DC1EB3"/>
    <w:rsid w:val="00DF13C6"/>
    <w:rsid w:val="00FA2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C7332F"/>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C7332F"/>
    <w:rPr>
      <w:rFonts w:ascii="Calibri" w:hAnsi="Calibri" w:cs="Calibri"/>
      <w:noProof/>
      <w:lang w:val="en-US"/>
    </w:rPr>
  </w:style>
  <w:style w:type="paragraph" w:customStyle="1" w:styleId="EndNoteBibliography">
    <w:name w:val="EndNote Bibliography"/>
    <w:basedOn w:val="Normal"/>
    <w:link w:val="EndNoteBibliographyCar"/>
    <w:rsid w:val="00C7332F"/>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C7332F"/>
    <w:rPr>
      <w:rFonts w:ascii="Calibri" w:hAnsi="Calibri" w:cs="Calibri"/>
      <w:noProof/>
      <w:lang w:val="en-US"/>
    </w:rPr>
  </w:style>
  <w:style w:type="table" w:customStyle="1" w:styleId="Tablaconcuadrcula1">
    <w:name w:val="Tabla con cuadrícula1"/>
    <w:basedOn w:val="Tablanormal"/>
    <w:next w:val="Tablaconcuadrcula"/>
    <w:uiPriority w:val="59"/>
    <w:rsid w:val="0038008F"/>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8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6B3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Prrafodelista">
    <w:name w:val="List Paragraph"/>
    <w:basedOn w:val="Normal"/>
    <w:uiPriority w:val="34"/>
    <w:qFormat/>
    <w:rsid w:val="00CC6B3D"/>
    <w:pPr>
      <w:ind w:left="720"/>
      <w:contextualSpacing/>
    </w:pPr>
  </w:style>
  <w:style w:type="paragraph" w:styleId="Textodeglobo">
    <w:name w:val="Balloon Text"/>
    <w:basedOn w:val="Normal"/>
    <w:link w:val="TextodegloboCar"/>
    <w:uiPriority w:val="99"/>
    <w:semiHidden/>
    <w:unhideWhenUsed/>
    <w:rsid w:val="006B6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dNoteBibliographyTitle">
    <w:name w:val="EndNote Bibliography Title"/>
    <w:basedOn w:val="Normal"/>
    <w:link w:val="EndNoteBibliographyTitleCar"/>
    <w:rsid w:val="00C7332F"/>
    <w:pPr>
      <w:spacing w:after="0"/>
      <w:jc w:val="center"/>
    </w:pPr>
    <w:rPr>
      <w:rFonts w:ascii="Calibri" w:hAnsi="Calibri" w:cs="Calibri"/>
      <w:noProof/>
      <w:lang w:val="en-US"/>
    </w:rPr>
  </w:style>
  <w:style w:type="character" w:customStyle="1" w:styleId="EndNoteBibliographyTitleCar">
    <w:name w:val="EndNote Bibliography Title Car"/>
    <w:basedOn w:val="Fuentedeprrafopredeter"/>
    <w:link w:val="EndNoteBibliographyTitle"/>
    <w:rsid w:val="00C7332F"/>
    <w:rPr>
      <w:rFonts w:ascii="Calibri" w:hAnsi="Calibri" w:cs="Calibri"/>
      <w:noProof/>
      <w:lang w:val="en-US"/>
    </w:rPr>
  </w:style>
  <w:style w:type="paragraph" w:customStyle="1" w:styleId="EndNoteBibliography">
    <w:name w:val="EndNote Bibliography"/>
    <w:basedOn w:val="Normal"/>
    <w:link w:val="EndNoteBibliographyCar"/>
    <w:rsid w:val="00C7332F"/>
    <w:pPr>
      <w:spacing w:line="240" w:lineRule="auto"/>
      <w:jc w:val="both"/>
    </w:pPr>
    <w:rPr>
      <w:rFonts w:ascii="Calibri" w:hAnsi="Calibri" w:cs="Calibri"/>
      <w:noProof/>
      <w:lang w:val="en-US"/>
    </w:rPr>
  </w:style>
  <w:style w:type="character" w:customStyle="1" w:styleId="EndNoteBibliographyCar">
    <w:name w:val="EndNote Bibliography Car"/>
    <w:basedOn w:val="Fuentedeprrafopredeter"/>
    <w:link w:val="EndNoteBibliography"/>
    <w:rsid w:val="00C7332F"/>
    <w:rPr>
      <w:rFonts w:ascii="Calibri" w:hAnsi="Calibri" w:cs="Calibri"/>
      <w:noProof/>
      <w:lang w:val="en-US"/>
    </w:rPr>
  </w:style>
  <w:style w:type="table" w:customStyle="1" w:styleId="Tablaconcuadrcula1">
    <w:name w:val="Tabla con cuadrícula1"/>
    <w:basedOn w:val="Tablanormal"/>
    <w:next w:val="Tablaconcuadrcula"/>
    <w:uiPriority w:val="59"/>
    <w:rsid w:val="0038008F"/>
    <w:pPr>
      <w:spacing w:after="0" w:line="240" w:lineRule="auto"/>
    </w:pPr>
    <w:rPr>
      <w:lang w:val="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8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6B3D"/>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Prrafodelista">
    <w:name w:val="List Paragraph"/>
    <w:basedOn w:val="Normal"/>
    <w:uiPriority w:val="34"/>
    <w:qFormat/>
    <w:rsid w:val="00CC6B3D"/>
    <w:pPr>
      <w:ind w:left="720"/>
      <w:contextualSpacing/>
    </w:pPr>
  </w:style>
  <w:style w:type="paragraph" w:styleId="Textodeglobo">
    <w:name w:val="Balloon Text"/>
    <w:basedOn w:val="Normal"/>
    <w:link w:val="TextodegloboCar"/>
    <w:uiPriority w:val="99"/>
    <w:semiHidden/>
    <w:unhideWhenUsed/>
    <w:rsid w:val="006B6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7427">
      <w:bodyDiv w:val="1"/>
      <w:marLeft w:val="0"/>
      <w:marRight w:val="0"/>
      <w:marTop w:val="0"/>
      <w:marBottom w:val="0"/>
      <w:divBdr>
        <w:top w:val="none" w:sz="0" w:space="0" w:color="auto"/>
        <w:left w:val="none" w:sz="0" w:space="0" w:color="auto"/>
        <w:bottom w:val="none" w:sz="0" w:space="0" w:color="auto"/>
        <w:right w:val="none" w:sz="0" w:space="0" w:color="auto"/>
      </w:divBdr>
    </w:div>
    <w:div w:id="1315335319">
      <w:bodyDiv w:val="1"/>
      <w:marLeft w:val="0"/>
      <w:marRight w:val="0"/>
      <w:marTop w:val="0"/>
      <w:marBottom w:val="0"/>
      <w:divBdr>
        <w:top w:val="none" w:sz="0" w:space="0" w:color="auto"/>
        <w:left w:val="none" w:sz="0" w:space="0" w:color="auto"/>
        <w:bottom w:val="none" w:sz="0" w:space="0" w:color="auto"/>
        <w:right w:val="none" w:sz="0" w:space="0" w:color="auto"/>
      </w:divBdr>
    </w:div>
    <w:div w:id="13245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1163</Words>
  <Characters>6402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Montemurro</dc:creator>
  <cp:lastModifiedBy>ijcastano</cp:lastModifiedBy>
  <cp:revision>2</cp:revision>
  <dcterms:created xsi:type="dcterms:W3CDTF">2021-03-30T06:48:00Z</dcterms:created>
  <dcterms:modified xsi:type="dcterms:W3CDTF">2021-03-30T06:48:00Z</dcterms:modified>
</cp:coreProperties>
</file>