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B9" w:rsidRDefault="00BA526A">
      <w:hyperlink r:id="rId5" w:history="1">
        <w:r w:rsidRPr="00001763">
          <w:rPr>
            <w:rStyle w:val="Hipervnculo"/>
          </w:rPr>
          <w:t>http://eldiariorural.es/ramiro-y-los-derechos-historicos/</w:t>
        </w:r>
      </w:hyperlink>
    </w:p>
    <w:p w:rsidR="00BA526A" w:rsidRDefault="00BA526A">
      <w:bookmarkStart w:id="0" w:name="_GoBack"/>
      <w:bookmarkEnd w:id="0"/>
    </w:p>
    <w:sectPr w:rsidR="00BA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6A"/>
    <w:rsid w:val="0057683E"/>
    <w:rsid w:val="00BA526A"/>
    <w:rsid w:val="00D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5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5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diariorural.es/ramiro-y-los-derechos-historic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2021-03-08T12:11:00Z</dcterms:created>
  <dcterms:modified xsi:type="dcterms:W3CDTF">2021-03-08T12:12:00Z</dcterms:modified>
</cp:coreProperties>
</file>