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AFFC9" w14:textId="77777777" w:rsidR="00C25B62" w:rsidRPr="001519D1" w:rsidRDefault="00C25B62" w:rsidP="00C25B62">
      <w:pPr>
        <w:spacing w:line="360" w:lineRule="auto"/>
        <w:jc w:val="center"/>
        <w:rPr>
          <w:rFonts w:ascii="Arial" w:hAnsi="Arial" w:cs="Arial"/>
          <w:b/>
          <w:sz w:val="28"/>
          <w:szCs w:val="28"/>
          <w:lang w:val="en-US"/>
        </w:rPr>
      </w:pPr>
      <w:bookmarkStart w:id="0" w:name="_GoBack"/>
      <w:bookmarkEnd w:id="0"/>
      <w:r w:rsidRPr="001519D1">
        <w:rPr>
          <w:rFonts w:ascii="Arial" w:hAnsi="Arial" w:cs="Arial"/>
          <w:b/>
          <w:sz w:val="28"/>
          <w:szCs w:val="28"/>
          <w:lang w:val="en-US"/>
        </w:rPr>
        <w:t>Boosting water activation determining-step in WGS reaction on structured catalyst by Mo-doping</w:t>
      </w:r>
    </w:p>
    <w:p w14:paraId="287395CB" w14:textId="13A42835" w:rsidR="00C25B62" w:rsidRPr="001519D1" w:rsidRDefault="00C25B62" w:rsidP="00C25B62">
      <w:pPr>
        <w:spacing w:after="0" w:line="360" w:lineRule="auto"/>
        <w:rPr>
          <w:rFonts w:ascii="Arial" w:hAnsi="Arial" w:cs="Arial"/>
          <w:lang w:val="es-ES"/>
        </w:rPr>
      </w:pPr>
      <w:r w:rsidRPr="001519D1">
        <w:rPr>
          <w:rFonts w:ascii="Arial" w:hAnsi="Arial" w:cs="Arial"/>
          <w:lang w:val="es-ES"/>
        </w:rPr>
        <w:t>Nuria García-Moncada,</w:t>
      </w:r>
      <w:r w:rsidRPr="001519D1">
        <w:rPr>
          <w:rFonts w:ascii="Arial" w:hAnsi="Arial" w:cs="Arial"/>
          <w:vertAlign w:val="superscript"/>
          <w:lang w:val="es-ES"/>
        </w:rPr>
        <w:t>a</w:t>
      </w:r>
      <w:r w:rsidR="00D22A80" w:rsidRPr="001519D1">
        <w:rPr>
          <w:rFonts w:ascii="Arial" w:hAnsi="Arial" w:cs="Arial"/>
          <w:vertAlign w:val="superscript"/>
          <w:lang w:val="es-ES"/>
        </w:rPr>
        <w:t>,</w:t>
      </w:r>
      <w:r w:rsidR="00D22A80" w:rsidRPr="001519D1">
        <w:rPr>
          <w:rFonts w:ascii="Arial" w:hAnsi="Arial" w:cs="Arial"/>
          <w:lang w:val="es-ES"/>
        </w:rPr>
        <w:t>*</w:t>
      </w:r>
      <w:r w:rsidRPr="001519D1">
        <w:rPr>
          <w:rFonts w:ascii="Arial" w:hAnsi="Arial" w:cs="Arial"/>
          <w:lang w:val="es-ES"/>
        </w:rPr>
        <w:t xml:space="preserve"> Lole Jurado,</w:t>
      </w:r>
      <w:r w:rsidRPr="001519D1">
        <w:rPr>
          <w:rFonts w:ascii="Arial" w:hAnsi="Arial" w:cs="Arial"/>
          <w:vertAlign w:val="superscript"/>
          <w:lang w:val="es-ES"/>
        </w:rPr>
        <w:t>a</w:t>
      </w:r>
      <w:r w:rsidR="00757FCA" w:rsidRPr="001519D1">
        <w:rPr>
          <w:rFonts w:ascii="Arial" w:hAnsi="Arial" w:cs="Arial"/>
          <w:vertAlign w:val="superscript"/>
          <w:lang w:val="es-ES"/>
        </w:rPr>
        <w:t>,┼</w:t>
      </w:r>
      <w:r w:rsidRPr="001519D1">
        <w:rPr>
          <w:rFonts w:ascii="Arial" w:hAnsi="Arial" w:cs="Arial"/>
          <w:lang w:val="es-ES"/>
        </w:rPr>
        <w:t xml:space="preserve"> L. Marcela Martínez-Tejada,</w:t>
      </w:r>
      <w:r w:rsidRPr="001519D1">
        <w:rPr>
          <w:rFonts w:ascii="Arial" w:hAnsi="Arial" w:cs="Arial"/>
          <w:vertAlign w:val="superscript"/>
          <w:lang w:val="es-ES"/>
        </w:rPr>
        <w:t>a</w:t>
      </w:r>
      <w:r w:rsidRPr="001519D1">
        <w:rPr>
          <w:rFonts w:ascii="Arial" w:hAnsi="Arial" w:cs="Arial"/>
          <w:lang w:val="es-ES"/>
        </w:rPr>
        <w:t xml:space="preserve"> Francisca Romero-Sarria</w:t>
      </w:r>
      <w:r w:rsidRPr="001519D1">
        <w:rPr>
          <w:rFonts w:ascii="Arial" w:hAnsi="Arial" w:cs="Arial"/>
          <w:vertAlign w:val="superscript"/>
          <w:lang w:val="es-ES"/>
        </w:rPr>
        <w:t>a</w:t>
      </w:r>
      <w:r w:rsidRPr="001519D1">
        <w:rPr>
          <w:rFonts w:ascii="Arial" w:hAnsi="Arial" w:cs="Arial"/>
          <w:lang w:val="es-ES"/>
        </w:rPr>
        <w:t xml:space="preserve"> and José A</w:t>
      </w:r>
      <w:r w:rsidR="007F227E" w:rsidRPr="001519D1">
        <w:rPr>
          <w:rFonts w:ascii="Arial" w:hAnsi="Arial" w:cs="Arial"/>
          <w:lang w:val="es-ES"/>
        </w:rPr>
        <w:t>ntonio</w:t>
      </w:r>
      <w:r w:rsidRPr="001519D1">
        <w:rPr>
          <w:rFonts w:ascii="Arial" w:hAnsi="Arial" w:cs="Arial"/>
          <w:lang w:val="es-ES"/>
        </w:rPr>
        <w:t xml:space="preserve"> Odriozola</w:t>
      </w:r>
      <w:r w:rsidRPr="001519D1">
        <w:rPr>
          <w:rFonts w:ascii="Arial" w:hAnsi="Arial" w:cs="Arial"/>
          <w:vertAlign w:val="superscript"/>
          <w:lang w:val="es-ES"/>
        </w:rPr>
        <w:t>a</w:t>
      </w:r>
    </w:p>
    <w:p w14:paraId="75464311" w14:textId="77777777" w:rsidR="00C25B62" w:rsidRPr="001519D1" w:rsidRDefault="00C25B62" w:rsidP="00C25B62">
      <w:pPr>
        <w:spacing w:after="0" w:line="360" w:lineRule="auto"/>
        <w:rPr>
          <w:rFonts w:ascii="Arial" w:hAnsi="Arial" w:cs="Arial"/>
          <w:lang w:val="es-ES"/>
        </w:rPr>
      </w:pPr>
    </w:p>
    <w:p w14:paraId="2387D777" w14:textId="77777777" w:rsidR="007F227E" w:rsidRPr="001519D1" w:rsidRDefault="007F227E" w:rsidP="007F227E">
      <w:pPr>
        <w:spacing w:after="0" w:line="360" w:lineRule="auto"/>
        <w:rPr>
          <w:rFonts w:ascii="Arial" w:hAnsi="Arial" w:cs="Arial"/>
          <w:i/>
          <w:sz w:val="20"/>
          <w:szCs w:val="20"/>
          <w:lang w:val="es-ES"/>
        </w:rPr>
      </w:pPr>
      <w:r w:rsidRPr="001519D1">
        <w:rPr>
          <w:rFonts w:ascii="Arial" w:hAnsi="Arial" w:cs="Arial"/>
          <w:i/>
          <w:sz w:val="20"/>
          <w:szCs w:val="20"/>
          <w:vertAlign w:val="superscript"/>
          <w:lang w:val="es-ES"/>
        </w:rPr>
        <w:t xml:space="preserve">a </w:t>
      </w:r>
      <w:r w:rsidRPr="001519D1">
        <w:rPr>
          <w:rFonts w:ascii="Arial" w:hAnsi="Arial" w:cs="Arial"/>
          <w:i/>
          <w:sz w:val="20"/>
          <w:szCs w:val="20"/>
          <w:lang w:val="es-ES"/>
        </w:rPr>
        <w:t>Instituto de Ciencia de Materiales de Sevilla and Departamento de Química Inorgánica, Centro Mixto CSIC-Universidad de Sevilla, Av. Américo Vespucio 49, 41092 Sevilla (Spain).</w:t>
      </w:r>
    </w:p>
    <w:p w14:paraId="2AC5CF4F" w14:textId="025DC5AF" w:rsidR="00757FCA" w:rsidRPr="001519D1" w:rsidRDefault="00757FCA" w:rsidP="00D719DC">
      <w:pPr>
        <w:spacing w:after="0" w:line="360" w:lineRule="auto"/>
        <w:rPr>
          <w:rFonts w:ascii="Arial" w:hAnsi="Arial" w:cs="Arial"/>
          <w:i/>
          <w:sz w:val="20"/>
          <w:szCs w:val="20"/>
          <w:lang w:val="es-ES"/>
        </w:rPr>
      </w:pPr>
      <w:r w:rsidRPr="001519D1">
        <w:rPr>
          <w:rFonts w:ascii="Arial" w:hAnsi="Arial" w:cs="Arial"/>
          <w:vertAlign w:val="superscript"/>
          <w:lang w:val="es-ES"/>
        </w:rPr>
        <w:t>┼</w:t>
      </w:r>
      <w:r w:rsidRPr="001519D1">
        <w:rPr>
          <w:rFonts w:ascii="Arial" w:hAnsi="Arial" w:cs="Arial"/>
          <w:i/>
          <w:sz w:val="20"/>
          <w:szCs w:val="20"/>
          <w:vertAlign w:val="superscript"/>
          <w:lang w:val="es-ES"/>
        </w:rPr>
        <w:t xml:space="preserve"> </w:t>
      </w:r>
      <w:r w:rsidRPr="001519D1">
        <w:rPr>
          <w:rFonts w:ascii="Arial" w:hAnsi="Arial" w:cs="Arial"/>
          <w:i/>
          <w:sz w:val="20"/>
          <w:szCs w:val="20"/>
          <w:lang w:val="es-ES"/>
        </w:rPr>
        <w:t xml:space="preserve">Current affiliation: Institut de chimie et procédés pour l’énergie, l’environnement et la santé (ICPEES), département </w:t>
      </w:r>
      <w:r w:rsidR="00D42159" w:rsidRPr="001519D1">
        <w:rPr>
          <w:rFonts w:ascii="Arial" w:hAnsi="Arial" w:cs="Arial"/>
          <w:i/>
          <w:sz w:val="20"/>
          <w:szCs w:val="20"/>
          <w:lang w:val="es-ES"/>
        </w:rPr>
        <w:t xml:space="preserve">de Catalyse et Matériaux, Université de Strasbourg, </w:t>
      </w:r>
      <w:r w:rsidRPr="001519D1">
        <w:rPr>
          <w:rFonts w:ascii="Arial" w:hAnsi="Arial" w:cs="Arial"/>
          <w:i/>
          <w:sz w:val="20"/>
          <w:szCs w:val="20"/>
          <w:lang w:val="es-ES"/>
        </w:rPr>
        <w:t xml:space="preserve">CNRS, </w:t>
      </w:r>
      <w:r w:rsidR="00D719DC" w:rsidRPr="001519D1">
        <w:rPr>
          <w:rFonts w:ascii="Arial" w:hAnsi="Arial" w:cs="Arial"/>
          <w:i/>
          <w:sz w:val="20"/>
          <w:szCs w:val="20"/>
          <w:lang w:val="es-ES"/>
        </w:rPr>
        <w:t>25 rue Becquerel, 67087, Strasbourg Cedex 02 (France</w:t>
      </w:r>
      <w:r w:rsidRPr="001519D1">
        <w:rPr>
          <w:rFonts w:ascii="Arial" w:hAnsi="Arial" w:cs="Arial"/>
          <w:i/>
          <w:sz w:val="20"/>
          <w:szCs w:val="20"/>
          <w:lang w:val="es-ES"/>
        </w:rPr>
        <w:t>).</w:t>
      </w:r>
      <w:r w:rsidR="00D719DC" w:rsidRPr="001519D1">
        <w:rPr>
          <w:rFonts w:ascii="Arial" w:hAnsi="Arial" w:cs="Arial"/>
          <w:i/>
          <w:sz w:val="20"/>
          <w:szCs w:val="20"/>
          <w:lang w:val="es-ES"/>
        </w:rPr>
        <w:t xml:space="preserve"> Email: djurado@unistra.fr</w:t>
      </w:r>
    </w:p>
    <w:p w14:paraId="2D61C679" w14:textId="7074BFEA" w:rsidR="007F227E" w:rsidRPr="001519D1" w:rsidRDefault="007F227E" w:rsidP="007F227E">
      <w:pPr>
        <w:spacing w:after="0" w:line="360" w:lineRule="auto"/>
        <w:rPr>
          <w:rFonts w:ascii="Arial" w:hAnsi="Arial" w:cs="Arial"/>
          <w:i/>
          <w:sz w:val="20"/>
          <w:szCs w:val="20"/>
          <w:lang w:val="en-US"/>
        </w:rPr>
      </w:pPr>
      <w:r w:rsidRPr="001519D1">
        <w:rPr>
          <w:rFonts w:ascii="Arial" w:hAnsi="Arial" w:cs="Arial"/>
          <w:i/>
          <w:sz w:val="20"/>
          <w:szCs w:val="20"/>
          <w:lang w:val="es-ES"/>
        </w:rPr>
        <w:t>* Corresponding author: Nuria García-Moncada (</w:t>
      </w:r>
      <w:r w:rsidR="00D22A80" w:rsidRPr="001519D1">
        <w:rPr>
          <w:rFonts w:ascii="Arial" w:hAnsi="Arial" w:cs="Arial"/>
          <w:i/>
          <w:sz w:val="20"/>
          <w:szCs w:val="20"/>
          <w:lang w:val="es-ES"/>
        </w:rPr>
        <w:t xml:space="preserve">Current affiliation address: Laboratoire Catalyse et Spectrochimie, ENSICAEN, Université de Caen, CNRS, 6 Boulevard Maréchal Juin, 14050 Caen </w:t>
      </w:r>
      <w:r w:rsidR="00D719DC" w:rsidRPr="001519D1">
        <w:rPr>
          <w:rFonts w:ascii="Arial" w:hAnsi="Arial" w:cs="Arial"/>
          <w:i/>
          <w:sz w:val="20"/>
          <w:szCs w:val="20"/>
          <w:lang w:val="es-ES"/>
        </w:rPr>
        <w:t>(</w:t>
      </w:r>
      <w:r w:rsidR="00D22A80" w:rsidRPr="001519D1">
        <w:rPr>
          <w:rFonts w:ascii="Arial" w:hAnsi="Arial" w:cs="Arial"/>
          <w:i/>
          <w:sz w:val="20"/>
          <w:szCs w:val="20"/>
          <w:lang w:val="es-ES"/>
        </w:rPr>
        <w:t>France</w:t>
      </w:r>
      <w:r w:rsidR="00D719DC" w:rsidRPr="001519D1">
        <w:rPr>
          <w:rFonts w:ascii="Arial" w:hAnsi="Arial" w:cs="Arial"/>
          <w:i/>
          <w:sz w:val="20"/>
          <w:szCs w:val="20"/>
          <w:lang w:val="es-ES"/>
        </w:rPr>
        <w:t>)</w:t>
      </w:r>
      <w:r w:rsidR="00D22A80" w:rsidRPr="001519D1">
        <w:rPr>
          <w:rFonts w:ascii="Arial" w:hAnsi="Arial" w:cs="Arial"/>
          <w:i/>
          <w:sz w:val="20"/>
          <w:szCs w:val="20"/>
          <w:lang w:val="es-ES"/>
        </w:rPr>
        <w:t xml:space="preserve">. </w:t>
      </w:r>
      <w:r w:rsidR="00D22A80" w:rsidRPr="001519D1">
        <w:rPr>
          <w:rFonts w:ascii="Arial" w:hAnsi="Arial" w:cs="Arial"/>
          <w:i/>
          <w:sz w:val="20"/>
          <w:szCs w:val="20"/>
          <w:lang w:val="en-US"/>
        </w:rPr>
        <w:t>C</w:t>
      </w:r>
      <w:r w:rsidRPr="001519D1">
        <w:rPr>
          <w:rFonts w:ascii="Arial" w:hAnsi="Arial" w:cs="Arial"/>
          <w:i/>
          <w:sz w:val="20"/>
          <w:szCs w:val="20"/>
          <w:lang w:val="en-US"/>
        </w:rPr>
        <w:t xml:space="preserve">urrent email </w:t>
      </w:r>
      <w:hyperlink r:id="rId8" w:history="1">
        <w:r w:rsidR="00256A96" w:rsidRPr="001519D1">
          <w:rPr>
            <w:rStyle w:val="Hipervnculo"/>
            <w:rFonts w:ascii="Arial" w:hAnsi="Arial" w:cs="Arial"/>
            <w:i/>
            <w:sz w:val="20"/>
            <w:szCs w:val="20"/>
            <w:lang w:val="en-US"/>
          </w:rPr>
          <w:t>garcia-moncada@ensicaen.fr</w:t>
        </w:r>
      </w:hyperlink>
      <w:r w:rsidRPr="001519D1">
        <w:rPr>
          <w:rFonts w:ascii="Arial" w:hAnsi="Arial" w:cs="Arial"/>
          <w:i/>
          <w:sz w:val="20"/>
          <w:szCs w:val="20"/>
          <w:lang w:val="en-US"/>
        </w:rPr>
        <w:t>)</w:t>
      </w:r>
    </w:p>
    <w:p w14:paraId="1B07EC6C" w14:textId="77777777" w:rsidR="007F227E" w:rsidRPr="001519D1" w:rsidRDefault="007F227E" w:rsidP="007F227E">
      <w:pPr>
        <w:spacing w:after="0" w:line="360" w:lineRule="auto"/>
        <w:rPr>
          <w:rFonts w:ascii="Arial" w:hAnsi="Arial" w:cs="Arial"/>
          <w:lang w:val="en-US"/>
        </w:rPr>
      </w:pPr>
    </w:p>
    <w:p w14:paraId="2630A013" w14:textId="1784BF9F" w:rsidR="003243C9" w:rsidRPr="001519D1" w:rsidRDefault="003243C9" w:rsidP="00C25B62">
      <w:pPr>
        <w:spacing w:after="0" w:line="360" w:lineRule="auto"/>
        <w:rPr>
          <w:rFonts w:ascii="Arial" w:hAnsi="Arial" w:cs="Arial"/>
          <w:b/>
          <w:bCs/>
          <w:lang w:val="en-US"/>
        </w:rPr>
      </w:pPr>
      <w:r w:rsidRPr="001519D1">
        <w:rPr>
          <w:rFonts w:ascii="Arial" w:hAnsi="Arial" w:cs="Arial"/>
          <w:b/>
          <w:bCs/>
          <w:lang w:val="en-US"/>
        </w:rPr>
        <w:t>Abstract</w:t>
      </w:r>
    </w:p>
    <w:p w14:paraId="14D08247" w14:textId="36098499" w:rsidR="00E6312D" w:rsidRPr="001519D1" w:rsidRDefault="00664EC3" w:rsidP="00C25B62">
      <w:pPr>
        <w:spacing w:after="0" w:line="360" w:lineRule="auto"/>
        <w:rPr>
          <w:rFonts w:ascii="Arial" w:hAnsi="Arial" w:cs="Arial"/>
          <w:lang w:val="en-US"/>
        </w:rPr>
      </w:pPr>
      <w:r w:rsidRPr="001519D1">
        <w:rPr>
          <w:rFonts w:ascii="Arial" w:hAnsi="Arial" w:cs="Arial"/>
          <w:lang w:val="en-US"/>
        </w:rPr>
        <w:t xml:space="preserve">Proton conductors </w:t>
      </w:r>
      <w:r w:rsidR="00C25B62" w:rsidRPr="001519D1">
        <w:rPr>
          <w:rFonts w:ascii="Arial" w:hAnsi="Arial" w:cs="Arial"/>
          <w:lang w:val="en-US"/>
        </w:rPr>
        <w:t>Mo</w:t>
      </w:r>
      <w:r w:rsidR="00E6312D" w:rsidRPr="001519D1">
        <w:rPr>
          <w:rFonts w:ascii="Arial" w:hAnsi="Arial" w:cs="Arial"/>
          <w:lang w:val="en-US"/>
        </w:rPr>
        <w:t xml:space="preserve">-Eu-Zr </w:t>
      </w:r>
      <w:r w:rsidR="005D5384" w:rsidRPr="001519D1">
        <w:rPr>
          <w:rFonts w:ascii="Arial" w:hAnsi="Arial" w:cs="Arial"/>
          <w:lang w:val="en-US"/>
        </w:rPr>
        <w:t xml:space="preserve">mixed </w:t>
      </w:r>
      <w:r w:rsidR="00E6312D" w:rsidRPr="001519D1">
        <w:rPr>
          <w:rFonts w:ascii="Arial" w:hAnsi="Arial" w:cs="Arial"/>
          <w:lang w:val="en-US"/>
        </w:rPr>
        <w:t>oxide systems</w:t>
      </w:r>
      <w:r w:rsidR="00C25B62" w:rsidRPr="001519D1">
        <w:rPr>
          <w:rFonts w:ascii="Arial" w:hAnsi="Arial" w:cs="Arial"/>
          <w:lang w:val="en-US"/>
        </w:rPr>
        <w:t xml:space="preserve"> </w:t>
      </w:r>
      <w:r w:rsidR="00E6312D" w:rsidRPr="001519D1">
        <w:rPr>
          <w:rFonts w:ascii="Arial" w:hAnsi="Arial" w:cs="Arial"/>
          <w:lang w:val="en-US"/>
        </w:rPr>
        <w:t>were</w:t>
      </w:r>
      <w:r w:rsidR="00C25B62" w:rsidRPr="001519D1">
        <w:rPr>
          <w:rFonts w:ascii="Arial" w:hAnsi="Arial" w:cs="Arial"/>
          <w:lang w:val="en-US"/>
        </w:rPr>
        <w:t xml:space="preserve"> synthesized and </w:t>
      </w:r>
      <w:r w:rsidR="00E6312D" w:rsidRPr="001519D1">
        <w:rPr>
          <w:rFonts w:ascii="Arial" w:hAnsi="Arial" w:cs="Arial"/>
          <w:lang w:val="en-US"/>
        </w:rPr>
        <w:t xml:space="preserve">further mixed with a conventional </w:t>
      </w:r>
      <w:r w:rsidR="00C25B62" w:rsidRPr="001519D1">
        <w:rPr>
          <w:rFonts w:ascii="Arial" w:hAnsi="Arial" w:cs="Arial"/>
          <w:lang w:val="en-US"/>
        </w:rPr>
        <w:t>Pt/CeO</w:t>
      </w:r>
      <w:r w:rsidR="00C25B62" w:rsidRPr="001519D1">
        <w:rPr>
          <w:rFonts w:ascii="Arial" w:hAnsi="Arial" w:cs="Arial"/>
          <w:vertAlign w:val="subscript"/>
          <w:lang w:val="en-US"/>
        </w:rPr>
        <w:t>2</w:t>
      </w:r>
      <w:r w:rsidR="00C25B62" w:rsidRPr="001519D1">
        <w:rPr>
          <w:rFonts w:ascii="Arial" w:hAnsi="Arial" w:cs="Arial"/>
          <w:lang w:val="en-US"/>
        </w:rPr>
        <w:t>/Al</w:t>
      </w:r>
      <w:r w:rsidR="00C25B62" w:rsidRPr="001519D1">
        <w:rPr>
          <w:rFonts w:ascii="Arial" w:hAnsi="Arial" w:cs="Arial"/>
          <w:vertAlign w:val="subscript"/>
          <w:lang w:val="en-US"/>
        </w:rPr>
        <w:t>2</w:t>
      </w:r>
      <w:r w:rsidR="00C25B62" w:rsidRPr="001519D1">
        <w:rPr>
          <w:rFonts w:ascii="Arial" w:hAnsi="Arial" w:cs="Arial"/>
          <w:lang w:val="en-US"/>
        </w:rPr>
        <w:t>O</w:t>
      </w:r>
      <w:r w:rsidR="00C25B62" w:rsidRPr="001519D1">
        <w:rPr>
          <w:rFonts w:ascii="Arial" w:hAnsi="Arial" w:cs="Arial"/>
          <w:vertAlign w:val="subscript"/>
          <w:lang w:val="en-US"/>
        </w:rPr>
        <w:t>3</w:t>
      </w:r>
      <w:r w:rsidR="00C25B62" w:rsidRPr="001519D1">
        <w:rPr>
          <w:rFonts w:ascii="Arial" w:hAnsi="Arial" w:cs="Arial"/>
          <w:lang w:val="en-US"/>
        </w:rPr>
        <w:t xml:space="preserve"> catalyst </w:t>
      </w:r>
      <w:r w:rsidR="00E6312D" w:rsidRPr="001519D1">
        <w:rPr>
          <w:rFonts w:ascii="Arial" w:hAnsi="Arial" w:cs="Arial"/>
          <w:lang w:val="en-US"/>
        </w:rPr>
        <w:t>to develop a highly efficient water-gas-shift (WGS) catalyst. The designed catalyst, once structured, allows reach the equilibrium conversion at medium temperatures (~350ºC) at 80 L·g</w:t>
      </w:r>
      <w:r w:rsidR="00E6312D" w:rsidRPr="001519D1">
        <w:rPr>
          <w:rFonts w:ascii="Arial" w:hAnsi="Arial" w:cs="Arial"/>
          <w:vertAlign w:val="superscript"/>
          <w:lang w:val="en-US"/>
        </w:rPr>
        <w:t>-1</w:t>
      </w:r>
      <w:r w:rsidR="00E6312D" w:rsidRPr="001519D1">
        <w:rPr>
          <w:rFonts w:ascii="Arial" w:hAnsi="Arial" w:cs="Arial"/>
          <w:lang w:val="en-US"/>
        </w:rPr>
        <w:t>·h</w:t>
      </w:r>
      <w:r w:rsidR="00E6312D" w:rsidRPr="001519D1">
        <w:rPr>
          <w:rFonts w:ascii="Arial" w:hAnsi="Arial" w:cs="Arial"/>
          <w:vertAlign w:val="superscript"/>
          <w:lang w:val="en-US"/>
        </w:rPr>
        <w:t>-1</w:t>
      </w:r>
      <w:r w:rsidR="00E6312D" w:rsidRPr="001519D1">
        <w:rPr>
          <w:rFonts w:ascii="Arial" w:hAnsi="Arial" w:cs="Arial"/>
          <w:lang w:val="en-US"/>
        </w:rPr>
        <w:t xml:space="preserve"> space velocity</w:t>
      </w:r>
      <w:r w:rsidR="00B42418" w:rsidRPr="001519D1">
        <w:rPr>
          <w:rFonts w:ascii="Arial" w:hAnsi="Arial" w:cs="Arial"/>
          <w:lang w:val="en-US"/>
        </w:rPr>
        <w:t xml:space="preserve">. </w:t>
      </w:r>
      <w:r w:rsidR="00E6312D" w:rsidRPr="001519D1">
        <w:rPr>
          <w:rFonts w:ascii="Arial" w:hAnsi="Arial" w:cs="Arial"/>
          <w:lang w:val="en-US"/>
        </w:rPr>
        <w:t xml:space="preserve">The ability of the proton conductor to maintain an elevated water concentration at the metal-support interface </w:t>
      </w:r>
      <w:r w:rsidR="005D5384" w:rsidRPr="001519D1">
        <w:rPr>
          <w:rFonts w:ascii="Arial" w:hAnsi="Arial" w:cs="Arial"/>
          <w:lang w:val="en-US"/>
        </w:rPr>
        <w:t>by</w:t>
      </w:r>
      <w:r w:rsidR="00E6312D" w:rsidRPr="001519D1">
        <w:rPr>
          <w:rFonts w:ascii="Arial" w:hAnsi="Arial" w:cs="Arial"/>
          <w:lang w:val="en-US"/>
        </w:rPr>
        <w:t xml:space="preserve"> Grotthuss’ mechanism</w:t>
      </w:r>
      <w:r w:rsidR="00B42418" w:rsidRPr="001519D1">
        <w:rPr>
          <w:rFonts w:ascii="Arial" w:hAnsi="Arial" w:cs="Arial"/>
          <w:lang w:val="en-US"/>
        </w:rPr>
        <w:t xml:space="preserve"> </w:t>
      </w:r>
      <w:r w:rsidR="00E6312D" w:rsidRPr="001519D1">
        <w:rPr>
          <w:rFonts w:ascii="Arial" w:hAnsi="Arial" w:cs="Arial"/>
          <w:lang w:val="en-US"/>
        </w:rPr>
        <w:t>boost</w:t>
      </w:r>
      <w:r w:rsidR="00A55EFF" w:rsidRPr="001519D1">
        <w:rPr>
          <w:rFonts w:ascii="Arial" w:hAnsi="Arial" w:cs="Arial"/>
          <w:lang w:val="en-US"/>
        </w:rPr>
        <w:t>s</w:t>
      </w:r>
      <w:r w:rsidR="00E6312D" w:rsidRPr="001519D1">
        <w:rPr>
          <w:rFonts w:ascii="Arial" w:hAnsi="Arial" w:cs="Arial"/>
          <w:lang w:val="en-US"/>
        </w:rPr>
        <w:t xml:space="preserve"> th</w:t>
      </w:r>
      <w:r w:rsidR="00A55EFF" w:rsidRPr="001519D1">
        <w:rPr>
          <w:rFonts w:ascii="Arial" w:hAnsi="Arial" w:cs="Arial"/>
          <w:lang w:val="en-US"/>
        </w:rPr>
        <w:t>e</w:t>
      </w:r>
      <w:r w:rsidR="00E6312D" w:rsidRPr="001519D1">
        <w:rPr>
          <w:rFonts w:ascii="Arial" w:hAnsi="Arial" w:cs="Arial"/>
          <w:lang w:val="en-US"/>
        </w:rPr>
        <w:t xml:space="preserve"> catalytic activity in WGS reaction.</w:t>
      </w:r>
    </w:p>
    <w:p w14:paraId="657B3438" w14:textId="4865B13D" w:rsidR="00C25B62" w:rsidRPr="001519D1" w:rsidRDefault="00E6312D" w:rsidP="00C8420B">
      <w:pPr>
        <w:spacing w:after="0" w:line="360" w:lineRule="auto"/>
        <w:rPr>
          <w:rFonts w:ascii="Arial" w:hAnsi="Arial" w:cs="Arial"/>
          <w:lang w:val="en-US"/>
        </w:rPr>
      </w:pPr>
      <w:r w:rsidRPr="001519D1">
        <w:rPr>
          <w:rFonts w:ascii="Arial" w:hAnsi="Arial" w:cs="Arial"/>
          <w:lang w:val="en-US"/>
        </w:rPr>
        <w:t>The Mo-containing proton conductor is extensively characterized allowing to establish the formation of molybdenum oxide phases nucleating on top</w:t>
      </w:r>
      <w:r w:rsidR="00C8420B" w:rsidRPr="001519D1">
        <w:rPr>
          <w:rFonts w:ascii="Arial" w:hAnsi="Arial" w:cs="Arial"/>
          <w:lang w:val="en-US"/>
        </w:rPr>
        <w:t xml:space="preserve"> of the Eu sites </w:t>
      </w:r>
      <w:r w:rsidR="005D5384" w:rsidRPr="001519D1">
        <w:rPr>
          <w:rFonts w:ascii="Arial" w:hAnsi="Arial" w:cs="Arial"/>
          <w:lang w:val="en-US"/>
        </w:rPr>
        <w:t>in</w:t>
      </w:r>
      <w:r w:rsidR="00C8420B" w:rsidRPr="001519D1">
        <w:rPr>
          <w:rFonts w:ascii="Arial" w:hAnsi="Arial" w:cs="Arial"/>
          <w:lang w:val="en-US"/>
        </w:rPr>
        <w:t xml:space="preserve"> Eu-Zr oxide solid solution. [MoO</w:t>
      </w:r>
      <w:r w:rsidR="00C8420B" w:rsidRPr="001519D1">
        <w:rPr>
          <w:rFonts w:ascii="Arial" w:hAnsi="Arial" w:cs="Arial"/>
          <w:vertAlign w:val="subscript"/>
          <w:lang w:val="en-US"/>
        </w:rPr>
        <w:t>4</w:t>
      </w:r>
      <w:r w:rsidR="00C8420B" w:rsidRPr="001519D1">
        <w:rPr>
          <w:rFonts w:ascii="Arial" w:hAnsi="Arial" w:cs="Arial"/>
          <w:lang w:val="en-US"/>
        </w:rPr>
        <w:t>]</w:t>
      </w:r>
      <w:r w:rsidR="00C8420B" w:rsidRPr="001519D1">
        <w:rPr>
          <w:rFonts w:ascii="Arial" w:hAnsi="Arial" w:cs="Arial"/>
          <w:vertAlign w:val="superscript"/>
          <w:lang w:val="en-US"/>
        </w:rPr>
        <w:t>2-</w:t>
      </w:r>
      <w:r w:rsidR="00C8420B" w:rsidRPr="001519D1">
        <w:rPr>
          <w:rFonts w:ascii="Arial" w:hAnsi="Arial" w:cs="Arial"/>
          <w:lang w:val="en-US"/>
        </w:rPr>
        <w:t xml:space="preserve"> to [Mo</w:t>
      </w:r>
      <w:r w:rsidR="00C8420B" w:rsidRPr="001519D1">
        <w:rPr>
          <w:rFonts w:ascii="Arial" w:hAnsi="Arial" w:cs="Arial"/>
          <w:vertAlign w:val="subscript"/>
          <w:lang w:val="en-US"/>
        </w:rPr>
        <w:t>7</w:t>
      </w:r>
      <w:r w:rsidR="00C8420B" w:rsidRPr="001519D1">
        <w:rPr>
          <w:rFonts w:ascii="Arial" w:hAnsi="Arial" w:cs="Arial"/>
          <w:lang w:val="en-US"/>
        </w:rPr>
        <w:t>O</w:t>
      </w:r>
      <w:r w:rsidR="00C8420B" w:rsidRPr="001519D1">
        <w:rPr>
          <w:rFonts w:ascii="Arial" w:hAnsi="Arial" w:cs="Arial"/>
          <w:vertAlign w:val="subscript"/>
          <w:lang w:val="en-US"/>
        </w:rPr>
        <w:t>24</w:t>
      </w:r>
      <w:r w:rsidR="00C8420B" w:rsidRPr="001519D1">
        <w:rPr>
          <w:rFonts w:ascii="Arial" w:hAnsi="Arial" w:cs="Arial"/>
          <w:lang w:val="en-US"/>
        </w:rPr>
        <w:t>]</w:t>
      </w:r>
      <w:r w:rsidR="00C8420B" w:rsidRPr="001519D1">
        <w:rPr>
          <w:rFonts w:ascii="Arial" w:hAnsi="Arial" w:cs="Arial"/>
          <w:vertAlign w:val="superscript"/>
          <w:lang w:val="en-US"/>
        </w:rPr>
        <w:t>6-</w:t>
      </w:r>
      <w:r w:rsidR="00C8420B" w:rsidRPr="001519D1">
        <w:rPr>
          <w:rFonts w:ascii="Arial" w:hAnsi="Arial" w:cs="Arial"/>
          <w:lang w:val="en-US"/>
        </w:rPr>
        <w:t xml:space="preserve"> clusters nucleates at low Mo contents resulting in a </w:t>
      </w:r>
      <w:r w:rsidR="00C8420B" w:rsidRPr="001519D1">
        <w:rPr>
          <w:rFonts w:ascii="Arial" w:hAnsi="Arial" w:cs="Arial"/>
        </w:rPr>
        <w:t>α</w:t>
      </w:r>
      <w:r w:rsidR="00C8420B" w:rsidRPr="001519D1">
        <w:rPr>
          <w:rFonts w:ascii="Arial" w:hAnsi="Arial" w:cs="Arial"/>
          <w:lang w:val="en-US"/>
        </w:rPr>
        <w:t>-MoO</w:t>
      </w:r>
      <w:r w:rsidR="00C8420B" w:rsidRPr="001519D1">
        <w:rPr>
          <w:rFonts w:ascii="Arial" w:hAnsi="Arial" w:cs="Arial"/>
          <w:vertAlign w:val="subscript"/>
          <w:lang w:val="en-US"/>
        </w:rPr>
        <w:t>3</w:t>
      </w:r>
      <w:r w:rsidR="00C8420B" w:rsidRPr="001519D1">
        <w:rPr>
          <w:rFonts w:ascii="Arial" w:hAnsi="Arial" w:cs="Arial"/>
          <w:lang w:val="en-US"/>
        </w:rPr>
        <w:t xml:space="preserve"> layer on increasing its content. In presence of H</w:t>
      </w:r>
      <w:r w:rsidR="00C8420B" w:rsidRPr="001519D1">
        <w:rPr>
          <w:rFonts w:ascii="Arial" w:hAnsi="Arial" w:cs="Arial"/>
          <w:vertAlign w:val="subscript"/>
          <w:lang w:val="en-US"/>
        </w:rPr>
        <w:t>2</w:t>
      </w:r>
      <w:r w:rsidR="005D5384" w:rsidRPr="001519D1">
        <w:rPr>
          <w:rFonts w:ascii="Arial" w:hAnsi="Arial" w:cs="Arial"/>
          <w:lang w:val="en-US"/>
        </w:rPr>
        <w:t>,</w:t>
      </w:r>
      <w:r w:rsidR="00C8420B" w:rsidRPr="001519D1">
        <w:rPr>
          <w:rFonts w:ascii="Arial" w:hAnsi="Arial" w:cs="Arial"/>
          <w:lang w:val="en-US"/>
        </w:rPr>
        <w:t xml:space="preserve"> Mo-bronzes are formed from ~200ºC enhancing water concentration at the surfaces </w:t>
      </w:r>
      <w:r w:rsidR="00A55EFF" w:rsidRPr="001519D1">
        <w:rPr>
          <w:rFonts w:ascii="Arial" w:hAnsi="Arial" w:cs="Arial"/>
          <w:lang w:val="en-US"/>
        </w:rPr>
        <w:t xml:space="preserve">and </w:t>
      </w:r>
      <w:r w:rsidR="00C8420B" w:rsidRPr="001519D1">
        <w:rPr>
          <w:rFonts w:ascii="Arial" w:hAnsi="Arial" w:cs="Arial"/>
          <w:lang w:val="en-US"/>
        </w:rPr>
        <w:t>boosting the catalytic activity in the WGS reaction. These results pave the way for developing lower volume WGS reactors.</w:t>
      </w:r>
    </w:p>
    <w:p w14:paraId="004D4BE7" w14:textId="30658F1F" w:rsidR="00A75971" w:rsidRPr="001519D1" w:rsidRDefault="00A75971" w:rsidP="00C8420B">
      <w:pPr>
        <w:spacing w:after="0" w:line="360" w:lineRule="auto"/>
        <w:rPr>
          <w:rFonts w:ascii="Arial" w:hAnsi="Arial" w:cs="Arial"/>
          <w:lang w:val="en-US"/>
        </w:rPr>
      </w:pPr>
    </w:p>
    <w:p w14:paraId="43306690" w14:textId="06A7FAE8" w:rsidR="00A75971" w:rsidRPr="001519D1" w:rsidRDefault="00A75971" w:rsidP="00C8420B">
      <w:pPr>
        <w:spacing w:after="0" w:line="360" w:lineRule="auto"/>
        <w:rPr>
          <w:rFonts w:ascii="Arial" w:hAnsi="Arial" w:cs="Arial"/>
          <w:lang w:val="en-US"/>
        </w:rPr>
      </w:pPr>
      <w:r w:rsidRPr="001519D1">
        <w:rPr>
          <w:rFonts w:ascii="Arial" w:hAnsi="Arial" w:cs="Arial"/>
          <w:b/>
          <w:bCs/>
          <w:lang w:val="en-US"/>
        </w:rPr>
        <w:t>Keywords:</w:t>
      </w:r>
      <w:r w:rsidRPr="001519D1">
        <w:rPr>
          <w:rFonts w:ascii="Arial" w:hAnsi="Arial" w:cs="Arial"/>
          <w:lang w:val="en-US"/>
        </w:rPr>
        <w:t xml:space="preserve"> WGS; proton conductor; Pt catalyst; water activation; Mo-doped mixed oxide.</w:t>
      </w:r>
    </w:p>
    <w:p w14:paraId="428F23AE" w14:textId="77777777" w:rsidR="00C25B62" w:rsidRPr="001519D1" w:rsidRDefault="00C25B62" w:rsidP="00C25B62">
      <w:pPr>
        <w:spacing w:after="0" w:line="360" w:lineRule="auto"/>
        <w:rPr>
          <w:rFonts w:ascii="Arial" w:hAnsi="Arial" w:cs="Arial"/>
          <w:lang w:val="en-US"/>
        </w:rPr>
      </w:pPr>
    </w:p>
    <w:p w14:paraId="0858B42A" w14:textId="77777777" w:rsidR="00C25B62" w:rsidRPr="001519D1" w:rsidRDefault="00C25B62" w:rsidP="00C25B62">
      <w:pPr>
        <w:spacing w:after="0" w:line="360" w:lineRule="auto"/>
        <w:rPr>
          <w:rFonts w:ascii="Arial" w:hAnsi="Arial" w:cs="Arial"/>
          <w:b/>
          <w:lang w:val="en-US"/>
        </w:rPr>
      </w:pPr>
      <w:r w:rsidRPr="001519D1">
        <w:rPr>
          <w:rFonts w:ascii="Arial" w:hAnsi="Arial" w:cs="Arial"/>
          <w:b/>
          <w:lang w:val="en-US"/>
        </w:rPr>
        <w:t>1. Introduction</w:t>
      </w:r>
    </w:p>
    <w:p w14:paraId="4E045C97" w14:textId="0CADB42C" w:rsidR="00C25B62" w:rsidRPr="001519D1" w:rsidRDefault="00C25B62" w:rsidP="00C25B62">
      <w:pPr>
        <w:spacing w:after="0" w:line="360" w:lineRule="auto"/>
        <w:rPr>
          <w:rFonts w:ascii="Arial" w:hAnsi="Arial" w:cs="Arial"/>
          <w:lang w:val="en-US"/>
        </w:rPr>
      </w:pPr>
      <w:r w:rsidRPr="001519D1">
        <w:rPr>
          <w:rFonts w:ascii="Arial" w:hAnsi="Arial" w:cs="Arial"/>
          <w:lang w:val="en-US"/>
        </w:rPr>
        <w:t>The emergence of fuel processors has renewed the interest on the noble metal cataly</w:t>
      </w:r>
      <w:r w:rsidR="00B42418" w:rsidRPr="001519D1">
        <w:rPr>
          <w:rFonts w:ascii="Arial" w:hAnsi="Arial" w:cs="Arial"/>
          <w:lang w:val="en-US"/>
        </w:rPr>
        <w:t>z</w:t>
      </w:r>
      <w:r w:rsidR="007F227E" w:rsidRPr="001519D1">
        <w:rPr>
          <w:rFonts w:ascii="Arial" w:hAnsi="Arial" w:cs="Arial"/>
          <w:lang w:val="en-US"/>
        </w:rPr>
        <w:t xml:space="preserve">ed </w:t>
      </w:r>
      <w:r w:rsidRPr="001519D1">
        <w:rPr>
          <w:rFonts w:ascii="Arial" w:hAnsi="Arial" w:cs="Arial"/>
          <w:lang w:val="en-US"/>
        </w:rPr>
        <w:t xml:space="preserve">water-gas-shift (WGS) reaction. </w:t>
      </w:r>
      <w:r w:rsidR="00B42418" w:rsidRPr="001519D1">
        <w:rPr>
          <w:rFonts w:ascii="Arial" w:hAnsi="Arial" w:cs="Arial"/>
          <w:lang w:val="en-US"/>
        </w:rPr>
        <w:t>As highlighted by</w:t>
      </w:r>
      <w:r w:rsidRPr="001519D1">
        <w:rPr>
          <w:rFonts w:ascii="Arial" w:hAnsi="Arial" w:cs="Arial"/>
          <w:lang w:val="en-US"/>
        </w:rPr>
        <w:t xml:space="preserve"> excellent reviews</w:t>
      </w:r>
      <w:r w:rsidR="00256196" w:rsidRPr="001519D1">
        <w:rPr>
          <w:rFonts w:ascii="Arial" w:hAnsi="Arial" w:cs="Arial"/>
          <w:lang w:val="en-US"/>
        </w:rPr>
        <w:t xml:space="preserve"> </w:t>
      </w:r>
      <w:r w:rsidR="00256196" w:rsidRPr="001519D1">
        <w:rPr>
          <w:rFonts w:ascii="Arial" w:hAnsi="Arial" w:cs="Arial"/>
          <w:lang w:val="en-US"/>
        </w:rPr>
        <w:fldChar w:fldCharType="begin" w:fldLock="1"/>
      </w:r>
      <w:r w:rsidR="00256196" w:rsidRPr="001519D1">
        <w:rPr>
          <w:rFonts w:ascii="Arial" w:hAnsi="Arial" w:cs="Arial"/>
          <w:lang w:val="en-US"/>
        </w:rPr>
        <w:instrText>ADDIN CSL_CITATION { "citationItems" : [ { "id" : "ITEM-1", "itemData" : { "DOI" : "10.1080/01614940701220496", "ISBN" : "0161-4940", "ISSN" : "0161-4940", "author" : [ { "dropping-particle" : "", "family" : "Farrauto", "given" : "Robert J.", "non-dropping-particle" : "", "parse-names" : false, "suffix" : "" }, { "dropping-particle" : "", "family" : "Liu", "given" : "Ye", "non-dropping-particle" : "", "parse-names" : false, "suffix" : "" }, { "dropping-particle" : "", "family" : "Ruettinger", "given" : "Wolfgang", "non-dropping-particle" : "", "parse-names" : false, "suffix" : "" }, { "dropping-particle" : "", "family" : "Ilinich", "given" : "Oleg", "non-dropping-particle" : "", "parse-names" : false, "suffix" : "" }, { "dropping-particle" : "", "family" : "Shore", "given" : "Larry", "non-dropping-particle" : "", "parse-names" : false, "suffix" : "" }, { "dropping-particle" : "", "family" : "Giroux", "given" : "Tom", "non-dropping-particle" : "", "parse-names" : false, "suffix" : "" } ], "container-title" : "Catalysis Reviews: Science and Engineering", "id" : "ITEM-1", "issue" : "2", "issued" : { "date-parts" : [ [ "2007" ] ] }, "page" : "141-196", "title" : "Precious Metal Catalysts Supported on Ceramic and Metal Monolithic Structures for the Hydrogen Economy", "type" : "article-journal", "volume" : "49" }, "uris" : [ "http://www.mendeley.com/documents/?uuid=faf866dd-f4a2-4720-a172-7358291552ac" ] }, { "id" : "ITEM-2", "itemData" : { "DOI" : "10.1080/01614940903048661", "ISBN" : "0161-4940", "ISSN" : "0161-4940", "abstract" : "Developments in water gas shift (WGS) catalysis, especially during the last decade, are reviewed. Recent developments include the development of 1 chromium?free catalysts that can operate at lower steam to gas ratios and 2 more active catalysts that can operate at gas hourly space velocities above 40,000 h?1. A current challenge is to develop catalysts for use in fuel cell applications. Precious metal catalysts supported on partially reducible oxide supports (Pt?ceria, Pt?titania, Au?ceria, etc.) are the current front runners. A critical review of the mechanism of the WGS reaction is also presented. Developments in water gas shift (WGS) catalysis, especially during the last decade, are reviewed. Recent developments include the development of 1 chromium?free catalysts that can operate at lower steam to gas ratios and 2 more active catalysts that can operate at gas hourly space velocities above 40,000 h?1. A current challenge is to develop catalysts for use in fuel cell applications. Precious metal catalysts supported on partially reducible oxide supports (Pt?ceria, Pt?titania, Au?ceria, etc.) are the current front runners. A critical review of the mechanism of the WGS reaction is also presented.", "author" : [ { "dropping-particle" : "", "family" : "Ratnasamy", "given" : "Chandra", "non-dropping-particle" : "", "parse-names" : false, "suffix" : "" }, { "dropping-particle" : "", "family" : "Wagner", "given" : "Jon P.", "non-dropping-particle" : "", "parse-names" : false, "suffix" : "" } ], "container-title" : "Catalysis Reviews: Science and Engineering", "id" : "ITEM-2", "issue" : "3", "issued" : { "date-parts" : [ [ "2009" ] ] }, "page" : "325-440", "title" : "Water Gas Shift Catalysis", "type" : "article-journal", "volume" : "51" }, "uris" : [ "http://www.mendeley.com/documents/?uuid=fc273793-a2f0-49b6-9a8f-097512a3268a" ] } ], "mendeley" : { "formattedCitation" : "[1,2]", "plainTextFormattedCitation" : "[1,2]", "previouslyFormattedCitation" : "[1,2]" }, "properties" : { "noteIndex" : 0 }, "schema" : "https://github.com/citation-style-language/schema/raw/master/csl-citation.json" }</w:instrText>
      </w:r>
      <w:r w:rsidR="00256196" w:rsidRPr="001519D1">
        <w:rPr>
          <w:rFonts w:ascii="Arial" w:hAnsi="Arial" w:cs="Arial"/>
          <w:lang w:val="en-US"/>
        </w:rPr>
        <w:fldChar w:fldCharType="separate"/>
      </w:r>
      <w:r w:rsidR="00256196" w:rsidRPr="001519D1">
        <w:rPr>
          <w:rFonts w:ascii="Arial" w:hAnsi="Arial" w:cs="Arial"/>
          <w:noProof/>
          <w:lang w:val="en-US"/>
        </w:rPr>
        <w:t>[1,2]</w:t>
      </w:r>
      <w:r w:rsidR="00256196" w:rsidRPr="001519D1">
        <w:rPr>
          <w:rFonts w:ascii="Arial" w:hAnsi="Arial" w:cs="Arial"/>
          <w:lang w:val="en-US"/>
        </w:rPr>
        <w:fldChar w:fldCharType="end"/>
      </w:r>
      <w:r w:rsidR="00256196" w:rsidRPr="001519D1">
        <w:rPr>
          <w:rFonts w:ascii="Arial" w:hAnsi="Arial" w:cs="Arial"/>
          <w:lang w:val="en-US"/>
        </w:rPr>
        <w:t>,</w:t>
      </w:r>
      <w:r w:rsidRPr="001519D1">
        <w:rPr>
          <w:rFonts w:ascii="Arial" w:hAnsi="Arial" w:cs="Arial"/>
          <w:lang w:val="en-US"/>
        </w:rPr>
        <w:t xml:space="preserve"> </w:t>
      </w:r>
      <w:r w:rsidR="00B42418" w:rsidRPr="001519D1">
        <w:rPr>
          <w:rFonts w:ascii="Arial" w:hAnsi="Arial" w:cs="Arial"/>
          <w:lang w:val="en-US"/>
        </w:rPr>
        <w:t xml:space="preserve">research </w:t>
      </w:r>
      <w:r w:rsidRPr="001519D1">
        <w:rPr>
          <w:rFonts w:ascii="Arial" w:hAnsi="Arial" w:cs="Arial"/>
          <w:lang w:val="en-US"/>
        </w:rPr>
        <w:t xml:space="preserve">efforts </w:t>
      </w:r>
      <w:r w:rsidR="00B42418" w:rsidRPr="001519D1">
        <w:rPr>
          <w:rFonts w:ascii="Arial" w:hAnsi="Arial" w:cs="Arial"/>
          <w:lang w:val="en-US"/>
        </w:rPr>
        <w:t>in</w:t>
      </w:r>
      <w:r w:rsidRPr="001519D1">
        <w:rPr>
          <w:rFonts w:ascii="Arial" w:hAnsi="Arial" w:cs="Arial"/>
          <w:lang w:val="en-US"/>
        </w:rPr>
        <w:t xml:space="preserve"> the understanding of </w:t>
      </w:r>
      <w:r w:rsidR="00B42418" w:rsidRPr="001519D1">
        <w:rPr>
          <w:rFonts w:ascii="Arial" w:hAnsi="Arial" w:cs="Arial"/>
          <w:lang w:val="en-US"/>
        </w:rPr>
        <w:t xml:space="preserve">how </w:t>
      </w:r>
      <w:r w:rsidRPr="001519D1">
        <w:rPr>
          <w:rFonts w:ascii="Arial" w:hAnsi="Arial" w:cs="Arial"/>
          <w:lang w:val="en-US"/>
        </w:rPr>
        <w:t xml:space="preserve">the </w:t>
      </w:r>
      <w:r w:rsidR="00B42418" w:rsidRPr="001519D1">
        <w:rPr>
          <w:rFonts w:ascii="Arial" w:hAnsi="Arial" w:cs="Arial"/>
          <w:lang w:val="en-US"/>
        </w:rPr>
        <w:t xml:space="preserve">structure, morphology or growth of the nanoparticles </w:t>
      </w:r>
      <w:r w:rsidRPr="001519D1">
        <w:rPr>
          <w:rFonts w:ascii="Arial" w:hAnsi="Arial" w:cs="Arial"/>
          <w:lang w:val="en-US"/>
        </w:rPr>
        <w:t xml:space="preserve">of noble metal-based catalysts </w:t>
      </w:r>
      <w:r w:rsidR="00B42418" w:rsidRPr="001519D1">
        <w:rPr>
          <w:rFonts w:ascii="Arial" w:hAnsi="Arial" w:cs="Arial"/>
          <w:lang w:val="en-US"/>
        </w:rPr>
        <w:t xml:space="preserve">has been devoted </w:t>
      </w:r>
      <w:r w:rsidRPr="001519D1">
        <w:rPr>
          <w:rFonts w:ascii="Arial" w:hAnsi="Arial" w:cs="Arial"/>
          <w:lang w:val="en-US"/>
        </w:rPr>
        <w:t xml:space="preserve">as a way to tailor the reactivity and selectivity </w:t>
      </w:r>
      <w:r w:rsidR="00EC6D16" w:rsidRPr="001519D1">
        <w:rPr>
          <w:rFonts w:ascii="Arial" w:hAnsi="Arial" w:cs="Arial"/>
          <w:lang w:val="en-US"/>
        </w:rPr>
        <w:t xml:space="preserve">of noble-metal catalysts </w:t>
      </w:r>
      <w:r w:rsidRPr="001519D1">
        <w:rPr>
          <w:rFonts w:ascii="Arial" w:hAnsi="Arial" w:cs="Arial"/>
          <w:lang w:val="en-US"/>
        </w:rPr>
        <w:t>to target hydrogen production</w:t>
      </w:r>
      <w:r w:rsidR="00256196" w:rsidRPr="001519D1">
        <w:rPr>
          <w:rFonts w:ascii="Arial" w:hAnsi="Arial" w:cs="Arial"/>
          <w:lang w:val="en-US"/>
        </w:rPr>
        <w:t xml:space="preserve"> </w:t>
      </w:r>
      <w:r w:rsidR="00256196" w:rsidRPr="001519D1">
        <w:rPr>
          <w:rFonts w:ascii="Arial" w:hAnsi="Arial" w:cs="Arial"/>
          <w:lang w:val="en-US"/>
        </w:rPr>
        <w:fldChar w:fldCharType="begin" w:fldLock="1"/>
      </w:r>
      <w:r w:rsidR="00256196" w:rsidRPr="001519D1">
        <w:rPr>
          <w:rFonts w:ascii="Arial" w:hAnsi="Arial" w:cs="Arial"/>
          <w:lang w:val="en-US"/>
        </w:rPr>
        <w:instrText>ADDIN CSL_CITATION { "citationItems" : [ { "id" : "ITEM-1", "itemData" : { "DOI" : "10.1016/j.apcata.2015.12.012", "ISSN" : "0926860X", "abstract" : "The use of metal nanoparticles (NPs), including Au and Pt, supported over oxides has been pivotal, and is ever increasing in enabling catalytic reactions which target the production of hydrogen. We review here the most recent works pertaining to the fundamental understanding of the structure, morphology, growth, characterization, and intrinsic phenomenological properties of Au- and Pt-based catalysts that influence the reactivity and selectivity to target hydrogen production. We draw on surface science and theoretical methods of model and powder catalysts using high resolution imaging, spectroscopy, scattering experiments, and theoretical studies. Based on these insights we identify key aspects of studies of supported metal nanoparticle (NP) catalysts for several reactions. The main focus of this review is on the intersection of catalytic chemistry related to the water-gas shift (WGS), oxygenate steam reforming (OSR), and solar-assisted reactions (SAR).", "author" : [ { "dropping-particle" : "", "family" : "Nguyen-Phan", "given" : "Thuy Duong", "non-dropping-particle" : "", "parse-names" : false, "suffix" : "" }, { "dropping-particle" : "", "family" : "Baber", "given" : "Ashleigh E.", "non-dropping-particle" : "", "parse-names" : false, "suffix" : "" }, { "dropping-particle" : "", "family" : "Rodriguez", "given" : "Jos\u00e9 A.", "non-dropping-particle" : "", "parse-names" : false, "suffix" : "" }, { "dropping-particle" : "", "family" : "Senanayake", "given" : "Sanjaya D.", "non-dropping-particle" : "", "parse-names" : false, "suffix" : "" } ], "container-title" : "Applied Catalysis A: General", "id" : "ITEM-1", "issued" : { "date-parts" : [ [ "2016" ] ] }, "page" : "18-47", "publisher" : "Elsevier B.V.", "title" : "Au and Pt nanoparticle supported catalysts tailored for H2production: From models to powder catalysts", "type" : "article-journal", "volume" : "518" }, "uris" : [ "http://www.mendeley.com/documents/?uuid=593c4802-e92c-49df-b3d6-53eb1dd96159" ] } ], "mendeley" : { "formattedCitation" : "[3]", "plainTextFormattedCitation" : "[3]", "previouslyFormattedCitation" : "[3]" }, "properties" : { "noteIndex" : 0 }, "schema" : "https://github.com/citation-style-language/schema/raw/master/csl-citation.json" }</w:instrText>
      </w:r>
      <w:r w:rsidR="00256196" w:rsidRPr="001519D1">
        <w:rPr>
          <w:rFonts w:ascii="Arial" w:hAnsi="Arial" w:cs="Arial"/>
          <w:lang w:val="en-US"/>
        </w:rPr>
        <w:fldChar w:fldCharType="separate"/>
      </w:r>
      <w:r w:rsidR="00256196" w:rsidRPr="001519D1">
        <w:rPr>
          <w:rFonts w:ascii="Arial" w:hAnsi="Arial" w:cs="Arial"/>
          <w:noProof/>
          <w:lang w:val="en-US"/>
        </w:rPr>
        <w:t>[3]</w:t>
      </w:r>
      <w:r w:rsidR="00256196" w:rsidRPr="001519D1">
        <w:rPr>
          <w:rFonts w:ascii="Arial" w:hAnsi="Arial" w:cs="Arial"/>
          <w:lang w:val="en-US"/>
        </w:rPr>
        <w:fldChar w:fldCharType="end"/>
      </w:r>
      <w:r w:rsidRPr="001519D1">
        <w:rPr>
          <w:rFonts w:ascii="Arial" w:hAnsi="Arial" w:cs="Arial"/>
          <w:lang w:val="en-US"/>
        </w:rPr>
        <w:t xml:space="preserve"> or to design new reactors and </w:t>
      </w:r>
      <w:r w:rsidRPr="001519D1">
        <w:rPr>
          <w:rFonts w:ascii="Arial" w:hAnsi="Arial" w:cs="Arial"/>
          <w:lang w:val="en-US"/>
        </w:rPr>
        <w:lastRenderedPageBreak/>
        <w:t>concepts</w:t>
      </w:r>
      <w:r w:rsidR="00256196" w:rsidRPr="001519D1">
        <w:rPr>
          <w:rFonts w:ascii="Arial" w:hAnsi="Arial" w:cs="Arial"/>
          <w:lang w:val="en-US"/>
        </w:rPr>
        <w:t xml:space="preserve"> </w:t>
      </w:r>
      <w:r w:rsidR="00256196" w:rsidRPr="001519D1">
        <w:rPr>
          <w:rFonts w:ascii="Arial" w:hAnsi="Arial" w:cs="Arial"/>
          <w:lang w:val="en-US"/>
        </w:rPr>
        <w:fldChar w:fldCharType="begin" w:fldLock="1"/>
      </w:r>
      <w:r w:rsidR="00256196" w:rsidRPr="001519D1">
        <w:rPr>
          <w:rFonts w:ascii="Arial" w:hAnsi="Arial" w:cs="Arial"/>
          <w:lang w:val="en-US"/>
        </w:rPr>
        <w:instrText>ADDIN CSL_CITATION { "citationItems" : [ { "id" : "ITEM-1", "itemData" : { "DOI" : "10.1016/j.jiec.2016.12.003", "ISSN" : "22345957", "abstract" : "Fossil fuel depletion, global warming, energy security, and climate change spur interest in commercial and environmentally friendly alternative fuels. Palladium-based catalytic membrane technology currently produces ultrapure hydrogen from fossil fuels. Palladium exhibits high permeability, selectivity for hydrogen, and good surface properties. Properties of some palladium alloys enable the industrial production of hydrogen. Reaction rates and conversion depend on several parameters. This document reviews kinetic expressions for the water\u2013gas shift (WGS) reactions and WGS combined with Fischer\u2013Tropsch synthesis (WGS\u2013FTS) reactions at high and low temperatures along with the details of the catalysts and operating conditions. The discussion includes mathematical reactor modeling.", "author" : [ { "dropping-particle" : "", "family" : "Saeidi", "given" : "Samrand", "non-dropping-particle" : "", "parse-names" : false, "suffix" : "" }, { "dropping-particle" : "", "family" : "Fazlollahi", "given" : "Farhad", "non-dropping-particle" : "", "parse-names" : false, "suffix" : "" }, { "dropping-particle" : "", "family" : "Najari", "given" : "Sara", "non-dropping-particle" : "", "parse-names" : false, "suffix" : "" }, { "dropping-particle" : "", "family" : "Iranshahi", "given" : "Davood", "non-dropping-particle" : "", "parse-names" : false, "suffix" : "" }, { "dropping-particle" : "", "family" : "Kleme\u0161", "given" : "Ji\u0159\u00ed Jarom\u00edr", "non-dropping-particle" : "", "parse-names" : false, "suffix" : "" }, { "dropping-particle" : "", "family" : "Baxter", "given" : "Larry L.", "non-dropping-particle" : "", "parse-names" : false, "suffix" : "" } ], "container-title" : "Journal of Industrial and Engineering Chemistry", "id" : "ITEM-1", "issued" : { "date-parts" : [ [ "2017" ] ] }, "page" : "1-25", "title" : "Hydrogen production: Perspectives, separation with special emphasis on kinetics of WGS reaction: A state-of-the-art review", "type" : "article-journal", "volume" : "49" }, "uris" : [ "http://www.mendeley.com/documents/?uuid=ffd5677f-d83f-449c-83e7-ee8d89a9032b" ] } ], "mendeley" : { "formattedCitation" : "[4]", "plainTextFormattedCitation" : "[4]", "previouslyFormattedCitation" : "[4]" }, "properties" : { "noteIndex" : 0 }, "schema" : "https://github.com/citation-style-language/schema/raw/master/csl-citation.json" }</w:instrText>
      </w:r>
      <w:r w:rsidR="00256196" w:rsidRPr="001519D1">
        <w:rPr>
          <w:rFonts w:ascii="Arial" w:hAnsi="Arial" w:cs="Arial"/>
          <w:lang w:val="en-US"/>
        </w:rPr>
        <w:fldChar w:fldCharType="separate"/>
      </w:r>
      <w:r w:rsidR="00256196" w:rsidRPr="001519D1">
        <w:rPr>
          <w:rFonts w:ascii="Arial" w:hAnsi="Arial" w:cs="Arial"/>
          <w:noProof/>
          <w:lang w:val="en-US"/>
        </w:rPr>
        <w:t>[4]</w:t>
      </w:r>
      <w:r w:rsidR="00256196" w:rsidRPr="001519D1">
        <w:rPr>
          <w:rFonts w:ascii="Arial" w:hAnsi="Arial" w:cs="Arial"/>
          <w:lang w:val="en-US"/>
        </w:rPr>
        <w:fldChar w:fldCharType="end"/>
      </w:r>
      <w:r w:rsidR="00256196" w:rsidRPr="001519D1">
        <w:rPr>
          <w:rFonts w:ascii="Arial" w:hAnsi="Arial" w:cs="Arial"/>
          <w:lang w:val="en-US"/>
        </w:rPr>
        <w:t>.</w:t>
      </w:r>
      <w:r w:rsidRPr="001519D1">
        <w:rPr>
          <w:rFonts w:ascii="Arial" w:hAnsi="Arial" w:cs="Arial"/>
          <w:lang w:val="en-US"/>
        </w:rPr>
        <w:t xml:space="preserve"> However, to efficiently improve the performances of fuel processors</w:t>
      </w:r>
      <w:r w:rsidR="00A55EFF" w:rsidRPr="001519D1">
        <w:rPr>
          <w:rFonts w:ascii="Arial" w:hAnsi="Arial" w:cs="Arial"/>
          <w:lang w:val="en-US"/>
        </w:rPr>
        <w:t>,</w:t>
      </w:r>
      <w:r w:rsidRPr="001519D1">
        <w:rPr>
          <w:rFonts w:ascii="Arial" w:hAnsi="Arial" w:cs="Arial"/>
          <w:lang w:val="en-US"/>
        </w:rPr>
        <w:t xml:space="preserve"> the design of catalysts able to operate at higher space velocities is mandatory in order to reduce volume and weight of the whole fuel processors</w:t>
      </w:r>
      <w:r w:rsidR="00256196" w:rsidRPr="001519D1">
        <w:rPr>
          <w:rFonts w:ascii="Arial" w:hAnsi="Arial" w:cs="Arial"/>
          <w:lang w:val="en-US"/>
        </w:rPr>
        <w:t xml:space="preserve"> </w:t>
      </w:r>
      <w:r w:rsidR="00256196" w:rsidRPr="001519D1">
        <w:rPr>
          <w:rFonts w:ascii="Arial" w:hAnsi="Arial" w:cs="Arial"/>
          <w:lang w:val="en-US"/>
        </w:rPr>
        <w:fldChar w:fldCharType="begin" w:fldLock="1"/>
      </w:r>
      <w:r w:rsidR="00256196" w:rsidRPr="001519D1">
        <w:rPr>
          <w:rFonts w:ascii="Arial" w:hAnsi="Arial" w:cs="Arial"/>
          <w:lang w:val="en-US"/>
        </w:rPr>
        <w:instrText>ADDIN CSL_CITATION { "citationItems" : [ { "id" : "ITEM-1", "itemData" : { "DOI" : "10.1002/9783527625154.ch3", "ISBN" : "9783527315819", "author" : [ { "dropping-particle" : "", "family" : "Kolb", "given" : "Gunther", "non-dropping-particle" : "", "parse-names" : false, "suffix" : "" } ], "chapter-number" : "3", "container-title" : "Fuel Processing for Fuel Cells", "id" : "ITEM-1", "issued" : { "date-parts" : [ [ "2008" ] ] }, "page" : "17-55", "publisher" : "Wiley-VCH", "publisher-place" : "Weinheim", "title" : "The Chemistry of Fuel Processing", "type" : "chapter" }, "uris" : [ "http://www.mendeley.com/documents/?uuid=4e1b0df4-fa86-48d5-bc5e-eca082c2e5fc" ] } ], "mendeley" : { "formattedCitation" : "[5]", "plainTextFormattedCitation" : "[5]", "previouslyFormattedCitation" : "[5]" }, "properties" : { "noteIndex" : 0 }, "schema" : "https://github.com/citation-style-language/schema/raw/master/csl-citation.json" }</w:instrText>
      </w:r>
      <w:r w:rsidR="00256196" w:rsidRPr="001519D1">
        <w:rPr>
          <w:rFonts w:ascii="Arial" w:hAnsi="Arial" w:cs="Arial"/>
          <w:lang w:val="en-US"/>
        </w:rPr>
        <w:fldChar w:fldCharType="separate"/>
      </w:r>
      <w:r w:rsidR="00256196" w:rsidRPr="001519D1">
        <w:rPr>
          <w:rFonts w:ascii="Arial" w:hAnsi="Arial" w:cs="Arial"/>
          <w:noProof/>
          <w:lang w:val="en-US"/>
        </w:rPr>
        <w:t>[5]</w:t>
      </w:r>
      <w:r w:rsidR="00256196" w:rsidRPr="001519D1">
        <w:rPr>
          <w:rFonts w:ascii="Arial" w:hAnsi="Arial" w:cs="Arial"/>
          <w:lang w:val="en-US"/>
        </w:rPr>
        <w:fldChar w:fldCharType="end"/>
      </w:r>
      <w:r w:rsidR="00256196" w:rsidRPr="001519D1">
        <w:rPr>
          <w:rFonts w:ascii="Arial" w:hAnsi="Arial" w:cs="Arial"/>
          <w:lang w:val="en-US"/>
        </w:rPr>
        <w:t>.</w:t>
      </w:r>
      <w:r w:rsidRPr="001519D1">
        <w:rPr>
          <w:rFonts w:ascii="Arial" w:hAnsi="Arial" w:cs="Arial"/>
          <w:lang w:val="en-US"/>
        </w:rPr>
        <w:t xml:space="preserve"> In previous works, our group have evidenced that the mechanical mixing of a non-active WGS solids with a Pt-based WGS catalyst does improve the catalyst performances by favoring the diffusion of water to the noble metal active sites</w:t>
      </w:r>
      <w:r w:rsidR="00256196" w:rsidRPr="001519D1">
        <w:rPr>
          <w:rFonts w:ascii="Arial" w:hAnsi="Arial" w:cs="Arial"/>
          <w:lang w:val="en-US"/>
        </w:rPr>
        <w:t xml:space="preserve"> </w:t>
      </w:r>
      <w:r w:rsidR="00256196" w:rsidRPr="001519D1">
        <w:rPr>
          <w:rFonts w:ascii="Arial" w:hAnsi="Arial" w:cs="Arial"/>
          <w:lang w:val="en-US"/>
        </w:rPr>
        <w:fldChar w:fldCharType="begin" w:fldLock="1"/>
      </w:r>
      <w:r w:rsidR="00256196" w:rsidRPr="001519D1">
        <w:rPr>
          <w:rFonts w:ascii="Arial" w:hAnsi="Arial" w:cs="Arial"/>
          <w:lang w:val="en-US"/>
        </w:rPr>
        <w:instrText>ADDIN CSL_CITATION { "citationItems" : [ { "id" : "ITEM-1", "itemData" : { "DOI" : "10.1016/j.apcatb.2018.03.001", "ISSN" : "09263373", "abstract" : "Eu-doped ZrO2solid solutions have been synthesized in order to prepare proton conductors as water-enhancer additives for the WGS reaction. Elemental characterization has been carried out revealing homogeneous dopant distribution resulting in fluorite-type solid solutions for Eu2O3contents up to \u223c9 mol.%. Representative samples of the Eu-doped ZrO2series have been analysed by Impedance Spectroscopy (IS) in inert, oxygen and wet conditions. The solid solution with 5 mol.% of Eu2O3has presented the highest conductivity values for all tested conditions indicating an optimal amount of dopant. Moreover, the presence of vapour pressure results in an increment of the conductivity at temperatures lower than 300 \u00b0C, meanwhile at higher temperatures the conductivity is the same than that in inert conditions. To elucidate these results, in situ DRIFTS studies were carried out. These experiments evidenced the existence of water dissociation at oxygen vacancies (band at 3724 cm\u22121) as well as the presence of physisorbed water at temperatures up to \u223c300 \u00b0C where the band at 5248 cm\u22121characteristic of these species disappeared. These results points to a layer model where the physisorbed water interacts with surface hydroxyls generated by dissociated water that improves the proton conductivity through Grotthuss\u2019 mechanism in the RT-300 \u00b0C temperature range. These samples were successfully tested in WGS reaction as additive to a typical Pt-based catalyst. The presence of the mixed oxide reveals an increase of the catalyst\u2019 activity assisted by the proton conductor, since improves the water activation step.", "author" : [ { "dropping-particle" : "", "family" : "Garc\u00eda-Moncada", "given" : "Nuria", "non-dropping-particle" : "", "parse-names" : false, "suffix" : "" }, { "dropping-particle" : "", "family" : "Bobadilla", "given" : "Luis F.", "non-dropping-particle" : "", "parse-names" : false, "suffix" : "" }, { "dropping-particle" : "", "family" : "Poyato", "given" : "Rosal\u00eda", "non-dropping-particle" : "", "parse-names" : false, "suffix" : "" }, { "dropping-particle" : "", "family" : "L\u00f3pez-Cartes", "given" : "Carlos", "non-dropping-particle" : "", "parse-names" : false, "suffix" : "" }, { "dropping-particle" : "", "family" : "Romero-Sarria", "given" : "Francisca", "non-dropping-particle" : "", "parse-names" : false, "suffix" : "" }, { "dropping-particle" : "", "family" : "Centeno", "given" : "Miguel \u00c1ngel", "non-dropping-particle" : "", "parse-names" : false, "suffix" : "" }, { "dropping-particle" : "", "family" : "Odriozola", "given" : "Jos\u00e9 Antonio", "non-dropping-particle" : "", "parse-names" : false, "suffix" : "" } ], "container-title" : "Applied Catalysis B: Environmental", "id" : "ITEM-1", "issued" : { "date-parts" : [ [ "2018" ] ] }, "page" : "343-356", "publisher" : "Elsevier", "title" : "A direct in situ observation of water-enhanced proton conductivity of Eu-doped ZrO2: Effect on WGS reaction", "type" : "article-journal", "volume" : "231" }, "uris" : [ "http://www.mendeley.com/documents/?uuid=2791e843-8b51-456b-9c4d-1590f34730e1" ] } ], "mendeley" : { "formattedCitation" : "[6]", "plainTextFormattedCitation" : "[6]", "previouslyFormattedCitation" : "[6]" }, "properties" : { "noteIndex" : 0 }, "schema" : "https://github.com/citation-style-language/schema/raw/master/csl-citation.json" }</w:instrText>
      </w:r>
      <w:r w:rsidR="00256196" w:rsidRPr="001519D1">
        <w:rPr>
          <w:rFonts w:ascii="Arial" w:hAnsi="Arial" w:cs="Arial"/>
          <w:lang w:val="en-US"/>
        </w:rPr>
        <w:fldChar w:fldCharType="separate"/>
      </w:r>
      <w:r w:rsidR="00256196" w:rsidRPr="001519D1">
        <w:rPr>
          <w:rFonts w:ascii="Arial" w:hAnsi="Arial" w:cs="Arial"/>
          <w:noProof/>
          <w:lang w:val="en-US"/>
        </w:rPr>
        <w:t>[6]</w:t>
      </w:r>
      <w:r w:rsidR="00256196" w:rsidRPr="001519D1">
        <w:rPr>
          <w:rFonts w:ascii="Arial" w:hAnsi="Arial" w:cs="Arial"/>
          <w:lang w:val="en-US"/>
        </w:rPr>
        <w:fldChar w:fldCharType="end"/>
      </w:r>
      <w:r w:rsidR="00256196" w:rsidRPr="001519D1">
        <w:rPr>
          <w:rFonts w:ascii="Arial" w:hAnsi="Arial" w:cs="Arial"/>
          <w:lang w:val="en-US"/>
        </w:rPr>
        <w:t>.</w:t>
      </w:r>
      <w:r w:rsidRPr="001519D1">
        <w:rPr>
          <w:rFonts w:ascii="Arial" w:hAnsi="Arial" w:cs="Arial"/>
          <w:lang w:val="en-US"/>
        </w:rPr>
        <w:t xml:space="preserve"> Our group has demonstrated that by adding a proton conductor to WGS catalysts an increase in its activity is observed</w:t>
      </w:r>
      <w:r w:rsidR="00256196" w:rsidRPr="001519D1">
        <w:rPr>
          <w:rFonts w:ascii="Arial" w:hAnsi="Arial" w:cs="Arial"/>
          <w:lang w:val="en-US"/>
        </w:rPr>
        <w:t xml:space="preserve"> </w:t>
      </w:r>
      <w:r w:rsidR="00256196" w:rsidRPr="001519D1">
        <w:rPr>
          <w:rFonts w:ascii="Arial" w:hAnsi="Arial" w:cs="Arial"/>
          <w:lang w:val="en-US"/>
        </w:rPr>
        <w:fldChar w:fldCharType="begin" w:fldLock="1"/>
      </w:r>
      <w:r w:rsidR="00256196" w:rsidRPr="001519D1">
        <w:rPr>
          <w:rFonts w:ascii="Arial" w:hAnsi="Arial" w:cs="Arial"/>
          <w:lang w:val="en-US"/>
        </w:rPr>
        <w:instrText>ADDIN CSL_CITATION { "citationItems" : [ { "id" : "ITEM-1", "itemData" : { "DOI" : "10.1016/j.apcatb.2018.03.001", "ISSN" : "09263373", "abstract" : "Eu-doped ZrO2solid solutions have been synthesized in order to prepare proton conductors as water-enhancer additives for the WGS reaction. Elemental characterization has been carried out revealing homogeneous dopant distribution resulting in fluorite-type solid solutions for Eu2O3contents up to \u223c9 mol.%. Representative samples of the Eu-doped ZrO2series have been analysed by Impedance Spectroscopy (IS) in inert, oxygen and wet conditions. The solid solution with 5 mol.% of Eu2O3has presented the highest conductivity values for all tested conditions indicating an optimal amount of dopant. Moreover, the presence of vapour pressure results in an increment of the conductivity at temperatures lower than 300 \u00b0C, meanwhile at higher temperatures the conductivity is the same than that in inert conditions. To elucidate these results, in situ DRIFTS studies were carried out. These experiments evidenced the existence of water dissociation at oxygen vacancies (band at 3724 cm\u22121) as well as the presence of physisorbed water at temperatures up to \u223c300 \u00b0C where the band at 5248 cm\u22121characteristic of these species disappeared. These results points to a layer model where the physisorbed water interacts with surface hydroxyls generated by dissociated water that improves the proton conductivity through Grotthuss\u2019 mechanism in the RT-300 \u00b0C temperature range. These samples were successfully tested in WGS reaction as additive to a typical Pt-based catalyst. The presence of the mixed oxide reveals an increase of the catalyst\u2019 activity assisted by the proton conductor, since improves the water activation step.", "author" : [ { "dropping-particle" : "", "family" : "Garc\u00eda-Moncada", "given" : "Nuria", "non-dropping-particle" : "", "parse-names" : false, "suffix" : "" }, { "dropping-particle" : "", "family" : "Bobadilla", "given" : "Luis F.", "non-dropping-particle" : "", "parse-names" : false, "suffix" : "" }, { "dropping-particle" : "", "family" : "Poyato", "given" : "Rosal\u00eda", "non-dropping-particle" : "", "parse-names" : false, "suffix" : "" }, { "dropping-particle" : "", "family" : "L\u00f3pez-Cartes", "given" : "Carlos", "non-dropping-particle" : "", "parse-names" : false, "suffix" : "" }, { "dropping-particle" : "", "family" : "Romero-Sarria", "given" : "Francisca", "non-dropping-particle" : "", "parse-names" : false, "suffix" : "" }, { "dropping-particle" : "", "family" : "Centeno", "given" : "Miguel \u00c1ngel", "non-dropping-particle" : "", "parse-names" : false, "suffix" : "" }, { "dropping-particle" : "", "family" : "Odriozola", "given" : "Jos\u00e9 Antonio", "non-dropping-particle" : "", "parse-names" : false, "suffix" : "" } ], "container-title" : "Applied Catalysis B: Environmental", "id" : "ITEM-1", "issued" : { "date-parts" : [ [ "2018" ] ] }, "page" : "343-356", "publisher" : "Elsevier", "title" : "A direct in situ observation of water-enhanced proton conductivity of Eu-doped ZrO2: Effect on WGS reaction", "type" : "article-journal", "volume" : "231" }, "uris" : [ "http://www.mendeley.com/documents/?uuid=2791e843-8b51-456b-9c4d-1590f34730e1" ] }, { "id" : "ITEM-2", "itemData" : { "abstract" : "Complejo catal\u00edtico conformado por la mezcla de catalizador y conductor i\u00f3nico. La invenci\u00f3n describe un complejo catal\u00edtico formado por la mezcla f\u00edsica de un catalizador y un conductor i\u00f3nico, y su uso en la conversi\u00f3n de mon\u00f3xido de carbono en hidr\u00f3geno, a trav\u00e9s de la reacci\u00f3n de desplazamiento del gas de agua. El objeto de la presente invenci\u00f3n es el desarrollo de sistemas m\u00e1s eficientes tanto en actividad como en estabilidad para la conversi\u00f3n de mon\u00f3xido de carbono en hidr\u00f3geno a trav\u00e9s de la reacci\u00f3n de desplazamiento del gas de agua o \"water gas shift\" mediante la generaci\u00f3n de un sistema compuesto por un catalizador en \u00edntimo contacto f\u00edsico con un conductor i\u00f3nico.", "author" : [ { "dropping-particle" : "", "family" : "Odriozola", "given" : "Jos\u00e9 Antonio", "non-dropping-particle" : "", "parse-names" : false, "suffix" : "" }, { "dropping-particle" : "", "family" : "Ivanova", "given" : "Svetlana", "non-dropping-particle" : "", "parse-names" : false, "suffix" : "" }, { "dropping-particle" : "", "family" : "Romero-Sarria", "given" : "Francisca", "non-dropping-particle" : "", "parse-names" : false, "suffix" : "" }, { "dropping-particle" : "", "family" : "Garc\u00eda-Moncada", "given" : "Nuria", "non-dropping-particle" : "", "parse-names" : false, "suffix" : "" }, { "dropping-particle" : "", "family" : "Gonz\u00e1lez-Casta\u00f1o", "given" : "Miriam", "non-dropping-particle" : "", "parse-names" : false, "suffix" : "" }, { "dropping-particle" : "", "family" : "Centeno", "given" : "Miguel \u00c1ngel", "non-dropping-particle" : "", "parse-names" : false, "suffix" : "" } ], "id" : "ITEM-2", "issued" : { "date-parts" : [ [ "2017" ] ] }, "page" : "1-17", "publisher-place" : "Spain", "title" : "Spanish Patent ES2595937B1 \"Complejo catal\u00edtico conformado por la mezcla de catalizador y conductor i\u00f3nico\"", "type" : "patent" }, "uris" : [ "http://www.mendeley.com/documents/?uuid=b2517690-87b8-4ffa-93aa-65381f33b0b5" ] }, { "id" : "ITEM-3", "itemData" : { "DOI" : "10.1016/j.apcatb.2018.06.068", "ISSN" : "09263373", "abstract" : "The viability of water gas shift catalytic system for mobile application passes through obligatory reactor volume reduction, achieved normally by using less charge of more efficient catalyst. Completely new concept for catalyst design is proposed: a catalytic system including classically reported WGS catalysts of different nature or active phase (Cu, Pt or Au) mechanically mixed with an ionic conductor. The influence of the later on catalyst activity is studied and discussed, more precisely its effect on the rate of the reaction-limiting step and catalysts\u2019 efficiency. It is demonstrated with this study, that the presence of an ionic conductor in contact with a WGS catalyst is essential for the water supply (dissociation and transport), thereby potentiating the water activation step, whatever the mechanism and catalyst overall performance.", "author" : [ { "dropping-particle" : "", "family" : "Garc\u00eda-Moncada", "given" : "Nuria", "non-dropping-particle" : "", "parse-names" : false, "suffix" : "" }, { "dropping-particle" : "", "family" : "Gonz\u00e1lez-Casta\u00f1o", "given" : "Miriam", "non-dropping-particle" : "", "parse-names" : false, "suffix" : "" }, { "dropping-particle" : "", "family" : "Ivanova", "given" : "Svetlana", "non-dropping-particle" : "", "parse-names" : false, "suffix" : "" }, { "dropping-particle" : "", "family" : "Centeno", "given" : "Miguel \u00c1ngel", "non-dropping-particle" : "", "parse-names" : false, "suffix" : "" }, { "dropping-particle" : "", "family" : "Romero-Sarria", "given" : "Francisca", "non-dropping-particle" : "", "parse-names" : false, "suffix" : "" }, { "dropping-particle" : "", "family" : "Odriozola", "given" : "Jos\u00e9 Antonio", "non-dropping-particle" : "", "parse-names" : false, "suffix" : "" } ], "container-title" : "Applied Catalysis B: Environmental", "id" : "ITEM-3", "issue" : "April", "issued" : { "date-parts" : [ [ "2018" ] ] }, "page" : "1-5", "title" : "New concept for old reaction: Novel WGS catalyst design", "type" : "article-journal", "volume" : "238" }, "uris" : [ "http://www.mendeley.com/documents/?uuid=83e27bf4-2240-4cb0-a562-ba9f9ef6cff0" ] } ], "mendeley" : { "formattedCitation" : "[6\u20138]", "plainTextFormattedCitation" : "[6\u20138]", "previouslyFormattedCitation" : "[6\u20138]" }, "properties" : { "noteIndex" : 0 }, "schema" : "https://github.com/citation-style-language/schema/raw/master/csl-citation.json" }</w:instrText>
      </w:r>
      <w:r w:rsidR="00256196" w:rsidRPr="001519D1">
        <w:rPr>
          <w:rFonts w:ascii="Arial" w:hAnsi="Arial" w:cs="Arial"/>
          <w:lang w:val="en-US"/>
        </w:rPr>
        <w:fldChar w:fldCharType="separate"/>
      </w:r>
      <w:r w:rsidR="00256196" w:rsidRPr="001519D1">
        <w:rPr>
          <w:rFonts w:ascii="Arial" w:hAnsi="Arial" w:cs="Arial"/>
          <w:noProof/>
          <w:lang w:val="en-US"/>
        </w:rPr>
        <w:t>[6–8]</w:t>
      </w:r>
      <w:r w:rsidR="00256196" w:rsidRPr="001519D1">
        <w:rPr>
          <w:rFonts w:ascii="Arial" w:hAnsi="Arial" w:cs="Arial"/>
          <w:lang w:val="en-US"/>
        </w:rPr>
        <w:fldChar w:fldCharType="end"/>
      </w:r>
      <w:r w:rsidR="00256196" w:rsidRPr="001519D1">
        <w:rPr>
          <w:rFonts w:ascii="Arial" w:hAnsi="Arial" w:cs="Arial"/>
          <w:lang w:val="en-US"/>
        </w:rPr>
        <w:t>.</w:t>
      </w:r>
      <w:r w:rsidRPr="001519D1">
        <w:rPr>
          <w:rFonts w:ascii="Arial" w:hAnsi="Arial" w:cs="Arial"/>
          <w:lang w:val="en-US"/>
        </w:rPr>
        <w:t xml:space="preserve"> Europium doping of ZrO</w:t>
      </w:r>
      <w:r w:rsidRPr="001519D1">
        <w:rPr>
          <w:rFonts w:ascii="Arial" w:hAnsi="Arial" w:cs="Arial"/>
          <w:vertAlign w:val="subscript"/>
          <w:lang w:val="en-US"/>
        </w:rPr>
        <w:t>2</w:t>
      </w:r>
      <w:r w:rsidRPr="001519D1">
        <w:rPr>
          <w:rFonts w:ascii="Arial" w:hAnsi="Arial" w:cs="Arial"/>
          <w:lang w:val="en-US"/>
        </w:rPr>
        <w:t xml:space="preserve"> results in fluorite-type solid solutions</w:t>
      </w:r>
      <w:r w:rsidR="00A55EFF" w:rsidRPr="001519D1">
        <w:rPr>
          <w:rFonts w:ascii="Arial" w:hAnsi="Arial" w:cs="Arial"/>
          <w:lang w:val="en-US"/>
        </w:rPr>
        <w:t>,</w:t>
      </w:r>
      <w:r w:rsidRPr="001519D1">
        <w:rPr>
          <w:rFonts w:ascii="Arial" w:hAnsi="Arial" w:cs="Arial"/>
          <w:lang w:val="en-US"/>
        </w:rPr>
        <w:t xml:space="preserve"> having oxygen vacancies able to dissociate water. Eu-substituted Zr sites allow a Eu-Zr distance able to accommodate hydroxyl groups</w:t>
      </w:r>
      <w:r w:rsidR="00EC6D16" w:rsidRPr="001519D1">
        <w:rPr>
          <w:rFonts w:ascii="Arial" w:hAnsi="Arial" w:cs="Arial"/>
          <w:lang w:val="en-US"/>
        </w:rPr>
        <w:t xml:space="preserve"> bridging Zr and Eu atoms</w:t>
      </w:r>
      <w:r w:rsidRPr="001519D1">
        <w:rPr>
          <w:rFonts w:ascii="Arial" w:hAnsi="Arial" w:cs="Arial"/>
          <w:lang w:val="en-US"/>
        </w:rPr>
        <w:t xml:space="preserve"> on the solid solution surface. This provides a pathway for proton conductivity according to a Grotthuss’ mechanism for temperatures below ~300 ºC in wet atmospheres</w:t>
      </w:r>
      <w:r w:rsidR="00256196" w:rsidRPr="001519D1">
        <w:rPr>
          <w:rFonts w:ascii="Arial" w:hAnsi="Arial" w:cs="Arial"/>
          <w:lang w:val="en-US"/>
        </w:rPr>
        <w:t xml:space="preserve"> </w:t>
      </w:r>
      <w:r w:rsidR="00256196" w:rsidRPr="001519D1">
        <w:rPr>
          <w:rFonts w:ascii="Arial" w:hAnsi="Arial" w:cs="Arial"/>
          <w:lang w:val="en-US"/>
        </w:rPr>
        <w:fldChar w:fldCharType="begin" w:fldLock="1"/>
      </w:r>
      <w:r w:rsidR="00256196" w:rsidRPr="001519D1">
        <w:rPr>
          <w:rFonts w:ascii="Arial" w:hAnsi="Arial" w:cs="Arial"/>
          <w:lang w:val="en-US"/>
        </w:rPr>
        <w:instrText>ADDIN CSL_CITATION { "citationItems" : [ { "id" : "ITEM-1", "itemData" : { "DOI" : "10.1016/j.apcatb.2018.03.001", "ISSN" : "09263373", "abstract" : "Eu-doped ZrO2solid solutions have been synthesized in order to prepare proton conductors as water-enhancer additives for the WGS reaction. Elemental characterization has been carried out revealing homogeneous dopant distribution resulting in fluorite-type solid solutions for Eu2O3contents up to \u223c9 mol.%. Representative samples of the Eu-doped ZrO2series have been analysed by Impedance Spectroscopy (IS) in inert, oxygen and wet conditions. The solid solution with 5 mol.% of Eu2O3has presented the highest conductivity values for all tested conditions indicating an optimal amount of dopant. Moreover, the presence of vapour pressure results in an increment of the conductivity at temperatures lower than 300 \u00b0C, meanwhile at higher temperatures the conductivity is the same than that in inert conditions. To elucidate these results, in situ DRIFTS studies were carried out. These experiments evidenced the existence of water dissociation at oxygen vacancies (band at 3724 cm\u22121) as well as the presence of physisorbed water at temperatures up to \u223c300 \u00b0C where the band at 5248 cm\u22121characteristic of these species disappeared. These results points to a layer model where the physisorbed water interacts with surface hydroxyls generated by dissociated water that improves the proton conductivity through Grotthuss\u2019 mechanism in the RT-300 \u00b0C temperature range. These samples were successfully tested in WGS reaction as additive to a typical Pt-based catalyst. The presence of the mixed oxide reveals an increase of the catalyst\u2019 activity assisted by the proton conductor, since improves the water activation step.", "author" : [ { "dropping-particle" : "", "family" : "Garc\u00eda-Moncada", "given" : "Nuria", "non-dropping-particle" : "", "parse-names" : false, "suffix" : "" }, { "dropping-particle" : "", "family" : "Bobadilla", "given" : "Luis F.", "non-dropping-particle" : "", "parse-names" : false, "suffix" : "" }, { "dropping-particle" : "", "family" : "Poyato", "given" : "Rosal\u00eda", "non-dropping-particle" : "", "parse-names" : false, "suffix" : "" }, { "dropping-particle" : "", "family" : "L\u00f3pez-Cartes", "given" : "Carlos", "non-dropping-particle" : "", "parse-names" : false, "suffix" : "" }, { "dropping-particle" : "", "family" : "Romero-Sarria", "given" : "Francisca", "non-dropping-particle" : "", "parse-names" : false, "suffix" : "" }, { "dropping-particle" : "", "family" : "Centeno", "given" : "Miguel \u00c1ngel", "non-dropping-particle" : "", "parse-names" : false, "suffix" : "" }, { "dropping-particle" : "", "family" : "Odriozola", "given" : "Jos\u00e9 Antonio", "non-dropping-particle" : "", "parse-names" : false, "suffix" : "" } ], "container-title" : "Applied Catalysis B: Environmental", "id" : "ITEM-1", "issued" : { "date-parts" : [ [ "2018" ] ] }, "page" : "343-356", "publisher" : "Elsevier", "title" : "A direct in situ observation of water-enhanced proton conductivity of Eu-doped ZrO2: Effect on WGS reaction", "type" : "article-journal", "volume" : "231" }, "uris" : [ "http://www.mendeley.com/documents/?uuid=2791e843-8b51-456b-9c4d-1590f34730e1" ] }, { "id" : "ITEM-2", "itemData" : { "DOI" : "10.1021/cm950192a", "ISBN" : "0897-4756", "ISSN" : "0897-4756", "PMID" : "15669165", "abstract" : "In this review the phenomenon of proton conductivity in materials and the elements of proton conduction mechanismssproton transfer, structural reorganization and diffusional motion of extended moietiessare discussed with special emphasis on proton chemistry. This is characterized by a strong proton localization within the valence electron density of electronegative species (e.g., oxygen, nitrogen) and self-localization effects due to solvent interactions which allows for significant proton diffusivities only when assisted by the dynamics of the proton environment in Grotthuss and vehicle type mechanisms. In systems with high proton density, proton/proton interactions lead to proton ordering below first-order phase transition rather than to coherent proton transfers along extended hydrogen-bond chains as is frequently suggested in textbooks of physical chemistry. There is no indication for significant proton tunneling in fast proton conduction phenomena for which almost barrierless proton transfer is suggested to occur. Models of proton conductivity are applied to specific compounds comprising oxides, phosphates, sulfates, and water-containing systems. The importance of proton conductivity is emphasized for biological systems and in devices such as fuel cells, electrochemical sensors, electrochemical reactors, and electro-chromic devices.", "author" : [ { "dropping-particle" : "", "family" : "Kreuer", "given" : "Klaus-Dieter", "non-dropping-particle" : "", "parse-names" : false, "suffix" : "" } ], "container-title" : "Chemistry of Materials", "id" : "ITEM-2", "issue" : "3", "issued" : { "date-parts" : [ [ "1996" ] ] }, "page" : "610-641", "title" : "Proton Conductivity:\u00a0 Materials and Applications", "type" : "article-journal", "volume" : "8" }, "uris" : [ "http://www.mendeley.com/documents/?uuid=5067ea0c-c29f-4d65-bce1-c1d57f1075d2" ] }, { "id" : "ITEM-3", "itemData" : { "DOI" : "10.1002/adfm.201202020", "ISBN" : "1616301X", "ISSN" : "1616-3028", "abstract" : "The electrical conductivity of dense and nanoporous zirconia-based thin films is compared to results obtained on bulk yttria stabilized zirconia (YSZ) ceramics. Different thin film preparation methods are used in order to vary grain size, grain shape, and porosity of the thin films. In porous films, a rather high conductivity is found at room temperature which decreases with increasing temperature to 120 \u00b0C. This conductivity is attributed to proton conduction along physisorbed water (Grotthuss mechanism) at the inner surfaces. It is highly dependent on the humidity of the surrounding atmosphere. At temperatures above 120 \u00b0C, the conductivity is thermally activated with activation energies between 0.4 and 1.1 eV. In this temperature regime the conduction is due to oxygen ions as well as protons. Proton conduction is caused by hydroxyl groups at the inner surface of the porous films. The effect vanishes above 400 \u00b0C, and pure oxygen ion conductivity with an activation energy of 0.9 to 1.3 eV prevails. The same behavior can also be observed in nanoporous bulk ceramic YSZ. In contrast to the nanoporous YSZ, fully dense nanocrystalline thin films only show oxygen ion conductivity, even down to 70 \u00b0C with an expected activation energy of 1.0 \u00b1 0.1 eV. No proton conductivity through grain boundaries could be detected in these nanocrystalline, but dense thin films.", "author" : [ { "dropping-particle" : "", "family" : "Scherrer", "given" : "Barbara", "non-dropping-particle" : "", "parse-names" : false, "suffix" : "" }, { "dropping-particle" : "", "family" : "Schlupp", "given" : "Meike V.F.", "non-dropping-particle" : "", "parse-names" : false, "suffix" : "" }, { "dropping-particle" : "", "family" : "Stender", "given" : "Dieter", "non-dropping-particle" : "", "parse-names" : false, "suffix" : "" }, { "dropping-particle" : "", "family" : "Martynczuk", "given" : "Julia", "non-dropping-particle" : "", "parse-names" : false, "suffix" : "" }, { "dropping-particle" : "", "family" : "Grolig", "given" : "Jan G.", "non-dropping-particle" : "", "parse-names" : false, "suffix" : "" }, { "dropping-particle" : "", "family" : "Ma", "given" : "Huan", "non-dropping-particle" : "", "parse-names" : false, "suffix" : "" }, { "dropping-particle" : "", "family" : "Kocher", "given" : "Peter", "non-dropping-particle" : "", "parse-names" : false, "suffix" : "" }, { "dropping-particle" : "", "family" : "Lippert", "given" : "Thomas", "non-dropping-particle" : "", "parse-names" : false, "suffix" : "" }, { "dropping-particle" : "", "family" : "Prestat", "given" : "Michel", "non-dropping-particle" : "", "parse-names" : false, "suffix" : "" }, { "dropping-particle" : "", "family" : "Gauckler", "given" : "Ludwig J.", "non-dropping-particle" : "", "parse-names" : false, "suffix" : "" } ], "container-title" : "Advanced Functional Materials", "id" : "ITEM-3", "issued" : { "date-parts" : [ [ "2013" ] ] }, "page" : "1957-1964", "title" : "On Proton Conductivity in Porous and Dense Yttria Stabilized Zirconia at Low Temperature", "type" : "article-journal", "volume" : "23" }, "uris" : [ "http://www.mendeley.com/documents/?uuid=6977f400-a617-430e-9f8a-ca52a6633e70" ] } ], "mendeley" : { "formattedCitation" : "[6,9,10]", "plainTextFormattedCitation" : "[6,9,10]", "previouslyFormattedCitation" : "[6,9,10]" }, "properties" : { "noteIndex" : 0 }, "schema" : "https://github.com/citation-style-language/schema/raw/master/csl-citation.json" }</w:instrText>
      </w:r>
      <w:r w:rsidR="00256196" w:rsidRPr="001519D1">
        <w:rPr>
          <w:rFonts w:ascii="Arial" w:hAnsi="Arial" w:cs="Arial"/>
          <w:lang w:val="en-US"/>
        </w:rPr>
        <w:fldChar w:fldCharType="separate"/>
      </w:r>
      <w:r w:rsidR="00256196" w:rsidRPr="001519D1">
        <w:rPr>
          <w:rFonts w:ascii="Arial" w:hAnsi="Arial" w:cs="Arial"/>
          <w:noProof/>
          <w:lang w:val="en-US"/>
        </w:rPr>
        <w:t>[6,9,10]</w:t>
      </w:r>
      <w:r w:rsidR="00256196" w:rsidRPr="001519D1">
        <w:rPr>
          <w:rFonts w:ascii="Arial" w:hAnsi="Arial" w:cs="Arial"/>
          <w:lang w:val="en-US"/>
        </w:rPr>
        <w:fldChar w:fldCharType="end"/>
      </w:r>
      <w:r w:rsidR="00256196" w:rsidRPr="001519D1">
        <w:rPr>
          <w:rFonts w:ascii="Arial" w:hAnsi="Arial" w:cs="Arial"/>
          <w:lang w:val="en-US"/>
        </w:rPr>
        <w:t>.</w:t>
      </w:r>
      <w:r w:rsidRPr="001519D1">
        <w:rPr>
          <w:rFonts w:ascii="Arial" w:hAnsi="Arial" w:cs="Arial"/>
          <w:lang w:val="en-US"/>
        </w:rPr>
        <w:t xml:space="preserve"> This path requires the presence of adsorbed water interacting with surface OH species. However, at temperatures above 300 ºC adsorbed molecular water does not longer occur and the Grotthuss’ conductivity contribution ends, becoming similar the ion conductivity of the solid in dry and wet atmospheres. Therefore, to improve the effect of Eu-doped ZrO</w:t>
      </w:r>
      <w:r w:rsidRPr="001519D1">
        <w:rPr>
          <w:rFonts w:ascii="Arial" w:hAnsi="Arial" w:cs="Arial"/>
          <w:vertAlign w:val="subscript"/>
          <w:lang w:val="en-US"/>
        </w:rPr>
        <w:t>2</w:t>
      </w:r>
      <w:r w:rsidRPr="001519D1">
        <w:rPr>
          <w:rFonts w:ascii="Arial" w:hAnsi="Arial" w:cs="Arial"/>
          <w:lang w:val="en-US"/>
        </w:rPr>
        <w:t xml:space="preserve"> proton conductors on the WGS activity the increase of the conducting properties at high temperatures is required. Mo-containing oxides, including rare earth molybdates</w:t>
      </w:r>
      <w:r w:rsidR="002028B5" w:rsidRPr="001519D1">
        <w:rPr>
          <w:rFonts w:ascii="Arial" w:hAnsi="Arial" w:cs="Arial"/>
          <w:lang w:val="en-US"/>
        </w:rPr>
        <w:t>,</w:t>
      </w:r>
      <w:r w:rsidRPr="001519D1">
        <w:rPr>
          <w:rFonts w:ascii="Arial" w:hAnsi="Arial" w:cs="Arial"/>
          <w:lang w:val="en-US"/>
        </w:rPr>
        <w:t xml:space="preserve"> present stable structures showing good ionic conducting properties at high temperatures</w:t>
      </w:r>
      <w:r w:rsidR="00256196" w:rsidRPr="001519D1">
        <w:rPr>
          <w:rFonts w:ascii="Arial" w:hAnsi="Arial" w:cs="Arial"/>
          <w:lang w:val="en-US"/>
        </w:rPr>
        <w:t xml:space="preserve"> </w:t>
      </w:r>
      <w:r w:rsidR="00256196" w:rsidRPr="001519D1">
        <w:rPr>
          <w:rFonts w:ascii="Arial" w:hAnsi="Arial" w:cs="Arial"/>
          <w:lang w:val="en-US"/>
        </w:rPr>
        <w:fldChar w:fldCharType="begin" w:fldLock="1"/>
      </w:r>
      <w:r w:rsidR="00256196" w:rsidRPr="001519D1">
        <w:rPr>
          <w:rFonts w:ascii="Arial" w:hAnsi="Arial" w:cs="Arial"/>
          <w:lang w:val="en-US"/>
        </w:rPr>
        <w:instrText>ADDIN CSL_CITATION { "citationItems" : [ { "id" : "ITEM-1", "itemData" : { "abstract" : "Scheelite-type compounds with the general formula (A1,A2)n[(B1,B2)O4]m (2/3 \u2264 n/m \u2264 3/2) are the subject of large interest owing to their stability, relatively simple preparation, and optical properties. The creation of cation vacancies (\u25a1) in the scheelite-type framework and the ordering of A cations and vacancies can be a new factor in controlling the scheelite-type structure and properties. For a long time, cation-deficient Nd3+:M2/7Gd4/7\u25a11/7MoO4 (M = Li, Na) compounds were considered as potential lasers with diode pumping. They have a defect scheelite-type 3D structure (space group I41/a) with a random distribution of Li+(Na+), Gd3+, and vacancies in the crystal. A Na2/7Gd4/7MoO4 single crystal with scheelite-type structure has been grown by the Czochralski method. Transmission electron microscopy revealed that Na2/7Gd4/7MoO4 has a (3 + 2)D incommensurately modulated structure. The (3 + 2)D incommensurately modulated scheelite-type cation-deficient structure of Na2/7Gd4/7MoO4 [super space group I4\u0305 (\u03b1\u2212\u03b20,\u03b2\u03b10)00] has been solved from single-crystal diffraction data. The solution of the (3 + 2)D incommensurately modulated structure revealed the partially disordered distribution of vacancies and Na and Gd cations. High- temperature conductivity measurements performed along the [100] and [001] orientation of the single crystal revealed that the conductivity of Na2/7Gd4/7MoO4 at T = 973 K equals \u03c3 = 1.13 \u00d7 10\u22125 \u03a9\u22121 cm\u22121.", "author" : [ { "dropping-particle" : "", "family" : "Morozov", "given" : "V.", "non-dropping-particle" : "", "parse-names" : false, "suffix" : "" }, { "dropping-particle" : "", "family" : "Arakcheeva", "given" : "A.", "non-dropping-particle" : "", "parse-names" : false, "suffix" : "" }, { "dropping-particle" : "", "family" : "Redkin", "given" : "B.", "non-dropping-particle" : "", "parse-names" : false, "suffix" : "" }, { "dropping-particle" : "", "family" : "Sinitsyn", "given" : "V.", "non-dropping-particle" : "", "parse-names" : false, "suffix" : "" }, { "dropping-particle" : "", "family" : "Khasanov", "given" : "S.", "non-dropping-particle" : "", "parse-names" : false, "suffix" : "" }, { "dropping-particle" : "", "family" : "Kudrenko", "given" : "E.", "non-dropping-particle" : "", "parse-names" : false, "suffix" : "" }, { "dropping-particle" : "", "family" : "Raskina", "given" : "M.", "non-dropping-particle" : "", "parse-names" : false, "suffix" : "" }, { "dropping-particle" : "", "family" : "Lebedev", "given" : "O.", "non-dropping-particle" : "", "parse-names" : false, "suffix" : "" }, { "dropping-particle" : "", "family" : "Tendeloo", "given" : "G.", "non-dropping-particle" : "Van", "parse-names" : false, "suffix" : "" } ], "container-title" : "Inorganic Chemistry", "id" : "ITEM-1", "issued" : { "date-parts" : [ [ "2012" ] ] }, "page" : "5313-5324", "title" : "Na2/7Gd4/7MoO4: a Modulated Scheelite-Type Structure and Conductivity Properties", "type" : "article-journal", "volume" : "51" }, "uris" : [ "http://www.mendeley.com/documents/?uuid=b77c7a12-71b4-43cf-8c12-f03e243ac746" ] }, { "id" : "ITEM-2", "itemData" : { "DOI" : "10.1016/j.ssi.2017.03.028", "ISSN" : "01672738", "author" : [ { "dropping-particle" : "", "family" : "Khal", "given" : "H.", "non-dropping-particle" : "El", "parse-names" : false, "suffix" : "" }, { "dropping-particle" : "", "family" : "Cordier", "given" : "A.", "non-dropping-particle" : "", "parse-names" : false, "suffix" : "" }, { "dropping-particle" : "", "family" : "Batis", "given" : "N.", "non-dropping-particle" : "", "parse-names" : false, "suffix" : "" }, { "dropping-particle" : "", "family" : "Siebert", "given" : "E.", "non-dropping-particle" : "", "parse-names" : false, "suffix" : "" }, { "dropping-particle" : "", "family" : "Georges", "given" : "S.", "non-dropping-particle" : "", "parse-names" : false, "suffix" : "" }, { "dropping-particle" : "", "family" : "Steil", "given" : "M.C.", "non-dropping-particle" : "", "parse-names" : false, "suffix" : "" } ], "container-title" : "Solid State Ionics", "id" : "ITEM-2", "issued" : { "date-parts" : [ [ "2017" ] ] }, "page" : "75-84", "publisher" : "Elsevier B.V.", "title" : "Effect of porosity on the electrical conductivity of LAMOX materials", "type" : "article-journal", "volume" : "304" }, "uris" : [ "http://www.mendeley.com/documents/?uuid=21e14607-0281-45f4-872c-ae96437f7a4c" ] }, { "id" : "ITEM-3", "itemData" : { "DOI" : "10.1039/c3cp50995h", "ISBN" : "1463-9084", "ISSN" : "1463-9084", "PMID" : "23515470", "abstract" : "We use ab initio density functional theory + U calculations to characterize the oxide ion diffusion process in bulk Sr2Fe1.5Mo0.5O(6-\u03b4) (SFMO) by analyzing the formation and migration of oxygen vacancies. We show that SFMO's remarkable ionic conductivity arises from its intrinsic content of oxygen vacancies and a predicted very low migration barrier of such vacancies. Theoretical analysis of the electronic structure reveals a crucial role played by strongly hybridized Fe 3d/O 2p states to achieve the attendant mixed ion-electron conductor character so important for intermediate temperature fuel cell operation. We predict a next-nearest-neighbor-type migration pathway for the O(2-) ion should dominate. The low energy barrier of this pathway is mainly related to electrostatic interactions with homogeneously distributed Mo in the SFMO sublattice. We identify the reasons why Fe-rich perovskites, with the key addition of a certain concentration of Mo, produce excellent electronic and ionic transport properties so crucial for efficient operation of intermediate temperature solid oxide fuel cells.", "author" : [ { "dropping-particle" : "", "family" : "Mu\u00f1oz-Garc\u00eda", "given" : "Ana B.", "non-dropping-particle" : "", "parse-names" : false, "suffix" : "" }, { "dropping-particle" : "", "family" : "Pavone", "given" : "Michele", "non-dropping-particle" : "", "parse-names" : false, "suffix" : "" }, { "dropping-particle" : "", "family" : "Ritzmann", "given" : "Andrew M.", "non-dropping-particle" : "", "parse-names" : false, "suffix" : "" }, { "dropping-particle" : "", "family" : "Carter", "given" : "Emily A.", "non-dropping-particle" : "", "parse-names" : false, "suffix" : "" } ], "container-title" : "Physical Chemistry Chemical Physics", "id" : "ITEM-3", "issue" : "17", "issued" : { "date-parts" : [ [ "2013" ] ] }, "page" : "6250-6259", "title" : "Oxide ion transport in Sr2Fe1.5Mo0.5O(6-\u03b4), a mixed ion-electron conductor: new insights from first principles modeling", "type" : "article-journal", "volume" : "15" }, "uris" : [ "http://www.mendeley.com/documents/?uuid=37651c35-437a-435b-8256-c71944726bd2" ] }, { "id" : "ITEM-4", "itemData" : { "DOI" : "10.1021/cm300255r", "ISBN" : "0897-4756", "ISSN" : "08974756", "abstract" : "The effect of Mo doping on the crystal structure and thermal, electrical, and electrochemical properties of the SrCo1\u2013xMoxO3\u2212\u03b4 (x = 0.05, 0.1) system has been studied. The introduction of Mo as a substitution for Co in SrCoO3\u2212\u03b4 leads to a change from a hexagonal to a tetragonal perovskite structure at room temperature. The electrical conductivity is largely enhanced by the introduction of Mo at intermediate temperature due to the stabilization of the 3D-perovskite structure. However, the increase in Mo content decreases the total conductivity probably due to partial disruption of the electronic pathway. The use of these materials as cathodes in a solid-oxide fuel cell (SOFC) and as anodes in a solid oxide electrolyzer (SOE) has been evaluated, showing low values of electrode polarization resistances in both configurations over the intermediate temperature range. Interestingly, better performance was obtained under anodic polarization conditions reaching overpotential values as low as 28 mV for a current d...", "author" : [ { "dropping-particle" : "", "family" : "Aguadero", "given" : "Ainara", "non-dropping-particle" : "", "parse-names" : false, "suffix" : "" }, { "dropping-particle" : "", "family" : "Perez-Coll", "given" : "Domingo", "non-dropping-particle" : "", "parse-names" : false, "suffix" : "" }, { "dropping-particle" : "", "family" : "Alonso", "given" : "Jose A.", "non-dropping-particle" : "", "parse-names" : false, "suffix" : "" }, { "dropping-particle" : "", "family" : "Skinner", "given" : "Stephen John", "non-dropping-particle" : "", "parse-names" : false, "suffix" : "" }, { "dropping-particle" : "", "family" : "Kilner", "given" : "John A.", "non-dropping-particle" : "", "parse-names" : false, "suffix" : "" } ], "container-title" : "Chemistry of Materials", "id" : "ITEM-4", "issue" : "14", "issued" : { "date-parts" : [ [ "2012" ] ] }, "page" : "2655-2663", "title" : "A new family of Mo-doped SrCoO3-delta perovskites for application in reversible solid state electrochemical cells", "type" : "article-journal", "volume" : "24" }, "uris" : [ "http://www.mendeley.com/documents/?uuid=12738343-99fc-481d-afb5-ff1f4f71aa35" ] }, { "id" : "ITEM-5", "itemData" : { "DOI" : "10.1111/j.1551-2916.2010.04168.x", "ISBN" : "1551-2916", "ISSN" : "00027820", "abstract" : "We demonstrate the applicability of LAMOX as an electrolyte for solid oxide fuel cells (SOFC) by preparing two anode-supported cells based on La0.9Dy0.1Mo2O9 and La0.9Dy0.1Mo1W1O9, and operating at 625\u00b0\u2013700\u00b0C under single chamber conditions. The two cells, supported by a composite of NiO and Gd-doped ceria (GDC), are initialized with a porous Ni+GDC disk to catalyze the partial oxidation reaction of methane. The partially oxidized methane reduces NiO to Ni catalyst and activates the cell at 650\u00b0C. A typical membrane electrode assembly of the single chamber SOFC cell consists of a 60-\u03bcm-thick La0.9Dy0.1Mo2O9 electrolyte, an anode of Ni+GDC, and a cathode of lanthanum strontium cobalt ferrite. Its peak power measures 220 mW/cm2 at 700\u00b0C in a tubular chamber of 15 mm in diameter, with the total methane/air flow rate of 350 mL/min and CH4:O2=2:1.", "author" : [ { "dropping-particle" : "", "family" : "Lo", "given" : "Jen-Chieh", "non-dropping-particle" : "", "parse-names" : false, "suffix" : "" }, { "dropping-particle" : "", "family" : "Tsai", "given" : "Dah-Shyang", "non-dropping-particle" : "", "parse-names" : false, "suffix" : "" }, { "dropping-particle" : "", "family" : "Chen", "given" : "Yu-Chen", "non-dropping-particle" : "", "parse-names" : false, "suffix" : "" }, { "dropping-particle" : "", "family" : "Le", "given" : "Minh-Vien", "non-dropping-particle" : "", "parse-names" : false, "suffix" : "" }, { "dropping-particle" : "", "family" : "Chung", "given" : "Wen-Hung", "non-dropping-particle" : "", "parse-names" : false, "suffix" : "" }, { "dropping-particle" : "", "family" : "Liu", "given" : "Feng-Jiin", "non-dropping-particle" : "", "parse-names" : false, "suffix" : "" } ], "container-title" : "Journal of the American Ceramic Society", "id" : "ITEM-5", "issue" : "3", "issued" : { "date-parts" : [ [ "2011" ] ] }, "page" : "806-811", "title" : "La2Mo2O9-based electrolyte: Ion conductivity and anode-supported cell under single chamber conditions", "type" : "article-journal", "volume" : "94" }, "uris" : [ "http://www.mendeley.com/documents/?uuid=79e323d4-68c6-49b6-aae4-c22e49ad6a93" ] } ], "mendeley" : { "formattedCitation" : "[11\u201315]", "plainTextFormattedCitation" : "[11\u201315]", "previouslyFormattedCitation" : "[11\u201315]" }, "properties" : { "noteIndex" : 0 }, "schema" : "https://github.com/citation-style-language/schema/raw/master/csl-citation.json" }</w:instrText>
      </w:r>
      <w:r w:rsidR="00256196" w:rsidRPr="001519D1">
        <w:rPr>
          <w:rFonts w:ascii="Arial" w:hAnsi="Arial" w:cs="Arial"/>
          <w:lang w:val="en-US"/>
        </w:rPr>
        <w:fldChar w:fldCharType="separate"/>
      </w:r>
      <w:r w:rsidR="00256196" w:rsidRPr="001519D1">
        <w:rPr>
          <w:rFonts w:ascii="Arial" w:hAnsi="Arial" w:cs="Arial"/>
          <w:noProof/>
          <w:lang w:val="en-US"/>
        </w:rPr>
        <w:t>[11–15]</w:t>
      </w:r>
      <w:r w:rsidR="00256196" w:rsidRPr="001519D1">
        <w:rPr>
          <w:rFonts w:ascii="Arial" w:hAnsi="Arial" w:cs="Arial"/>
          <w:lang w:val="en-US"/>
        </w:rPr>
        <w:fldChar w:fldCharType="end"/>
      </w:r>
      <w:r w:rsidR="00256196" w:rsidRPr="001519D1">
        <w:rPr>
          <w:rFonts w:ascii="Arial" w:hAnsi="Arial" w:cs="Arial"/>
          <w:lang w:val="en-US"/>
        </w:rPr>
        <w:t>.</w:t>
      </w:r>
      <w:r w:rsidRPr="001519D1">
        <w:rPr>
          <w:rFonts w:ascii="Arial" w:hAnsi="Arial" w:cs="Arial"/>
          <w:lang w:val="en-US"/>
        </w:rPr>
        <w:t xml:space="preserve"> </w:t>
      </w:r>
      <w:r w:rsidR="002028B5" w:rsidRPr="001519D1">
        <w:rPr>
          <w:rFonts w:ascii="Arial" w:hAnsi="Arial" w:cs="Arial"/>
          <w:lang w:val="en-US"/>
        </w:rPr>
        <w:t>T</w:t>
      </w:r>
      <w:r w:rsidRPr="001519D1">
        <w:rPr>
          <w:rFonts w:ascii="Arial" w:hAnsi="Arial" w:cs="Arial"/>
          <w:lang w:val="en-US"/>
        </w:rPr>
        <w:t>herefore, Mo-modified Eu-doped ZrO</w:t>
      </w:r>
      <w:r w:rsidRPr="001519D1">
        <w:rPr>
          <w:rFonts w:ascii="Arial" w:hAnsi="Arial" w:cs="Arial"/>
          <w:vertAlign w:val="subscript"/>
          <w:lang w:val="en-US"/>
        </w:rPr>
        <w:t>2</w:t>
      </w:r>
      <w:r w:rsidRPr="001519D1">
        <w:rPr>
          <w:rFonts w:ascii="Arial" w:hAnsi="Arial" w:cs="Arial"/>
          <w:lang w:val="en-US"/>
        </w:rPr>
        <w:t xml:space="preserve"> proton conductors seems to be promising solids for enhancing the activity of Pt-based catalysts in the WGS reaction.</w:t>
      </w:r>
    </w:p>
    <w:p w14:paraId="1860E294" w14:textId="77777777" w:rsidR="00C25B62" w:rsidRPr="001519D1" w:rsidRDefault="00C25B62" w:rsidP="00C25B62">
      <w:pPr>
        <w:spacing w:after="0" w:line="360" w:lineRule="auto"/>
        <w:rPr>
          <w:rFonts w:ascii="Arial" w:hAnsi="Arial" w:cs="Arial"/>
          <w:lang w:val="en-US"/>
        </w:rPr>
      </w:pPr>
    </w:p>
    <w:p w14:paraId="57E0F373" w14:textId="30DB2871" w:rsidR="00C25B62" w:rsidRPr="001519D1" w:rsidRDefault="00C25B62" w:rsidP="00C25B62">
      <w:pPr>
        <w:spacing w:after="0" w:line="360" w:lineRule="auto"/>
        <w:rPr>
          <w:rFonts w:ascii="Arial" w:hAnsi="Arial" w:cs="Arial"/>
          <w:lang w:val="en-US"/>
        </w:rPr>
      </w:pPr>
      <w:r w:rsidRPr="001519D1">
        <w:rPr>
          <w:rFonts w:ascii="Arial" w:hAnsi="Arial" w:cs="Arial"/>
          <w:lang w:val="en-US"/>
        </w:rPr>
        <w:t>Molybdenum compounds usually exhibit mixed ionic and electronic conductivity (MIEC). Their relative contribution to the total conductivity depends on temperature and the amount of Mo</w:t>
      </w:r>
      <w:r w:rsidR="00256196" w:rsidRPr="001519D1">
        <w:rPr>
          <w:rFonts w:ascii="Arial" w:hAnsi="Arial" w:cs="Arial"/>
          <w:lang w:val="en-US"/>
        </w:rPr>
        <w:t xml:space="preserve"> </w:t>
      </w:r>
      <w:r w:rsidR="00256196" w:rsidRPr="001519D1">
        <w:rPr>
          <w:rFonts w:ascii="Arial" w:hAnsi="Arial" w:cs="Arial"/>
          <w:lang w:val="en-US"/>
        </w:rPr>
        <w:fldChar w:fldCharType="begin" w:fldLock="1"/>
      </w:r>
      <w:r w:rsidR="00256196" w:rsidRPr="001519D1">
        <w:rPr>
          <w:rFonts w:ascii="Arial" w:hAnsi="Arial" w:cs="Arial"/>
          <w:lang w:val="en-US"/>
        </w:rPr>
        <w:instrText>ADDIN CSL_CITATION { "citationItems" : [ { "id" : "ITEM-1", "itemData" : { "DOI" : "10.1039/c2dt30261f", "ISBN" : "1477-9234 (Electronic) 1477-9226 (Linking)", "ISSN" : "1477-9226", "PMID" : "22576758", "abstract" : "Thermogravimetric analysis (TGA) technique in controlled oxygen partial pressure (pO2) atmospheres has been used to obtain equilibrium oxygen content data as a function of pO2 on the La2Mo2O9\u2212\u03b4 system resulting from the partial reduction of fast oxide-ion conductor La2Mo2O9 (LM). Thermodynamic conditions for stabilization of crystalline La7Mo7O30 and amorphous La2Mo2O7\u2212y at 718 \u00b0C have been determined and discussed. At 608 \u00b0C, the compound reported for the first time La2Mo2O8.96 (LM896) has been found. The crystalline form and transition temperature in LM896 have been identified by X-ray diffraction at room temperature (XRD) and at controlled temperature. Conductivity curves obtained by electrochemical impedance spectroscopy (EIS) as a function of temperature for both LM and LM896 have been compared. The results indicate that LM896 is a mixed ionic and electronic conductor (MIEC).", "author" : [ { "dropping-particle" : "", "family" : "Vega-Castillo", "given" : "Jes\u00fas E.", "non-dropping-particle" : "", "parse-names" : false, "suffix" : "" }, { "dropping-particle" : "", "family" : "Ravella", "given" : "Uday K.", "non-dropping-particle" : "", "parse-names" : false, "suffix" : "" }, { "dropping-particle" : "", "family" : "Corbel", "given" : "Gwena\u00ebl", "non-dropping-particle" : "", "parse-names" : false, "suffix" : "" }, { "dropping-particle" : "", "family" : "Lacorre", "given" : "Philippe", "non-dropping-particle" : "", "parse-names" : false, "suffix" : "" }, { "dropping-particle" : "", "family" : "Caneiro", "given" : "Alberto", "non-dropping-particle" : "", "parse-names" : false, "suffix" : "" } ], "container-title" : "Dalton Transactions", "id" : "ITEM-1", "issue" : "24", "issued" : { "date-parts" : [ [ "2012" ] ] }, "page" : "7266-7271", "title" : "Thermodynamic stability, structural and electrical characterization of mixed ionic and electronic conductor La2Mo2O8.96", "type" : "article-journal", "volume" : "41" }, "uris" : [ "http://www.mendeley.com/documents/?uuid=0dd9293d-b2a2-4567-ad14-e950701973dd" ] }, { "id" : "ITEM-2", "itemData" : { "DOI" : "10.1021/cm301723a", "ISBN" : "0897-4756\\r1520-5002", "ISSN" : "08974756", "abstract" : "Molybdenum substituted lanthanum tungstate, La 28-y(W 1-xMo x) 4+yO 54+\u03b4 (x = 0-1, y = 0.923), was investigated seeking for an enhancement of the n-type electronic conductivity for its use as a mixed electron-proton conductor in hydrogen gas separation membrane applications. The materials were synthesized by the freeze-drying precursor method, and they were single phase after firing between 1300 and 1500 \u00b0C for x \u2265 0.8. The crystal structure changed from cubic (x \u2265 0.4) to rhombohedral (x \u2265 0.6) with increasing the molybdenum content. Transmission electron microscopy (TEM) investigations revealed an ordering of the oxygen vacancies with increasing Mo-content, giving rise to superstructure domains. The dependency of the conductivity with the oxygen and water partial pressure showed that these materials are good mixed electron-proton conductors under wet reducing conditions for x \u2265 0.4. The conductivity of the materials with x \u2265 0.6 was dominated by electrons, and they are expected to be less chemically stable due to the lower redox stability of Mo 6+. The total conductivities in humidified H 2 were 0.016 S/cm for x = 0.2 and 0.043 S/cm for x = 0.4 at 900 \u00b0C, and they were stable under these conditions for more than 60 h. The ambipolar proton-electron conductivity was estimated to be \u223c1.6 \u00d7 10 -3 S/cm for x = 0.4 at temperatures as low as 600 \u00b0C, which makes this family of materials very interesting and competitive candidates for applications such as hydrogen gas separation membranes at lower temperatures than state-of-the-art materials. \u00a9 2012 American Chemical Society.", "author" : [ { "dropping-particle" : "", "family" : "Amsif", "given" : "M.", "non-dropping-particle" : "", "parse-names" : false, "suffix" : "" }, { "dropping-particle" : "", "family" : "Magras\u00f3", "given" : "A.", "non-dropping-particle" : "", "parse-names" : false, "suffix" : "" }, { "dropping-particle" : "", "family" : "Marrero-L\u00f3pez", "given" : "D.", "non-dropping-particle" : "", "parse-names" : false, "suffix" : "" }, { "dropping-particle" : "", "family" : "Ruiz-Morales", "given" : "J.C.", "non-dropping-particle" : "", "parse-names" : false, "suffix" : "" }, { "dropping-particle" : "", "family" : "Canales-V\u00e1zquez", "given" : "J.", "non-dropping-particle" : "", "parse-names" : false, "suffix" : "" }, { "dropping-particle" : "", "family" : "N\u00fa\u00f1ez", "given" : "P.", "non-dropping-particle" : "", "parse-names" : false, "suffix" : "" } ], "container-title" : "Chemistry of Materials", "id" : "ITEM-2", "issue" : "20", "issued" : { "date-parts" : [ [ "2012" ] ] }, "page" : "3868-3877", "title" : "Mo-Substituted Lanthanum Tungstate La28-yW4+yO54+delta: A Competitive Mixed Electron-Proton Conductor for Gas Separation Membrane Applications", "type" : "article-journal", "volume" : "24" }, "uris" : [ "http://www.mendeley.com/documents/?uuid=4a338ba5-9750-4dca-947a-3acf1ddfb9ef" ] } ], "mendeley" : { "formattedCitation" : "[16,17]", "plainTextFormattedCitation" : "[16,17]", "previouslyFormattedCitation" : "[16,17]" }, "properties" : { "noteIndex" : 0 }, "schema" : "https://github.com/citation-style-language/schema/raw/master/csl-citation.json" }</w:instrText>
      </w:r>
      <w:r w:rsidR="00256196" w:rsidRPr="001519D1">
        <w:rPr>
          <w:rFonts w:ascii="Arial" w:hAnsi="Arial" w:cs="Arial"/>
          <w:lang w:val="en-US"/>
        </w:rPr>
        <w:fldChar w:fldCharType="separate"/>
      </w:r>
      <w:r w:rsidR="00256196" w:rsidRPr="001519D1">
        <w:rPr>
          <w:rFonts w:ascii="Arial" w:hAnsi="Arial" w:cs="Arial"/>
          <w:noProof/>
          <w:lang w:val="en-US"/>
        </w:rPr>
        <w:t>[16,17]</w:t>
      </w:r>
      <w:r w:rsidR="00256196" w:rsidRPr="001519D1">
        <w:rPr>
          <w:rFonts w:ascii="Arial" w:hAnsi="Arial" w:cs="Arial"/>
          <w:lang w:val="en-US"/>
        </w:rPr>
        <w:fldChar w:fldCharType="end"/>
      </w:r>
      <w:r w:rsidR="00256196" w:rsidRPr="001519D1">
        <w:rPr>
          <w:rFonts w:ascii="Arial" w:hAnsi="Arial" w:cs="Arial"/>
          <w:lang w:val="en-US"/>
        </w:rPr>
        <w:t>.</w:t>
      </w:r>
      <w:r w:rsidRPr="001519D1">
        <w:rPr>
          <w:rFonts w:ascii="Arial" w:hAnsi="Arial" w:cs="Arial"/>
          <w:lang w:val="en-US"/>
        </w:rPr>
        <w:t xml:space="preserve"> Thus, low Mo concentrations results in favoring the proton conductivity, but on increasing the Mo content, the crystal symmetry decreases and the relative contribution of the electronic conductivity increases. Moreover, on ordering oxygen vacancies the ionic conductivity is reduced and the activation energy for conduction increases as observed for other ionic conductors</w:t>
      </w:r>
      <w:r w:rsidR="00256196" w:rsidRPr="001519D1">
        <w:rPr>
          <w:rFonts w:ascii="Arial" w:hAnsi="Arial" w:cs="Arial"/>
          <w:lang w:val="en-US"/>
        </w:rPr>
        <w:t xml:space="preserve"> </w:t>
      </w:r>
      <w:r w:rsidR="00256196" w:rsidRPr="001519D1">
        <w:rPr>
          <w:rFonts w:ascii="Arial" w:hAnsi="Arial" w:cs="Arial"/>
          <w:lang w:val="en-US"/>
        </w:rPr>
        <w:fldChar w:fldCharType="begin" w:fldLock="1"/>
      </w:r>
      <w:r w:rsidR="00555B8C" w:rsidRPr="001519D1">
        <w:rPr>
          <w:rFonts w:ascii="Arial" w:hAnsi="Arial" w:cs="Arial"/>
          <w:lang w:val="en-US"/>
        </w:rPr>
        <w:instrText>ADDIN CSL_CITATION { "citationItems" : [ { "id" : "ITEM-1", "itemData" : { "DOI" : "10.1039/b915141a", "abstract" : "This critical review presents an overview of the various classes of oxide materials exhibiting fast oxide-ion or proton conductivity for use as solid electrolytes in clean energy applications such as solid oxide fuel cells. Emphasis is placed on the relationship between structural and mechanistic features of the crystalline materials and their ion conduction properties. After describing well-established classes such as fluorite- and perovskite-based oxides, new materials and structure-types are presented. These include a variety of molybdate, gallate, apatite silicate/ germanate and niobate systems, many of which contain flexible structural networks, and exhibit different defect properties and transport mechanisms to the conventional materials. It is concluded that the rich chemistry of these important systems provides diverse possibilities for developing superior ionic conductors for use as solid electrolytes in fuel cells and related applications. In most cases, a greater atomic-level understanding of the structures, defects and conduction mechanisms is achieved through a combination of experimental and computational techniques (217 references).", "author" : [ { "dropping-particle" : "", "family" : "Malavasi", "given" : "Lorenzo", "non-dropping-particle" : "", "parse-names" : false, "suffix" : "" }, { "dropping-particle" : "", "family" : "Fisher", "given" : "Craig A.J.", "non-dropping-particle" : "", "parse-names" : false, "suffix" : "" }, { "dropping-particle" : "", "family" : "Islam", "given" : "M. Saiful", "non-dropping-particle" : "", "parse-names" : false, "suffix" : "" } ], "container-title" : "Chemical Society Reviews", "id" : "ITEM-1", "issued" : { "date-parts" : [ [ "2010" ] ] }, "page" : "4370-4387", "title" : "Oxide-ion and proton conducting electrolyte materials for clean energy applications: structural and mechanistic features", "type" : "article-journal", "volume" : "39" }, "uris" : [ "http://www.mendeley.com/documents/?uuid=cd0c2214-b5f8-4072-ac29-e11f0914fbd9" ] }, { "id" : "ITEM-2", "itemData" : { "DOI" : "10.1039/c0jm01521k", "ISBN" : "0959-9428", "ISSN" : "0959-9428", "abstract" : "Oxides based on the fluorite structure are important as electrolytes in solid oxide fuel cells, thermal barrier coatings, gate dielectrics, catalysts, and nuclear materials. Though the parent fluorite structure is simple, the substitution of trivalent for tetravalent cations, coupled with the presence of charge- balancing oxygen vacancies, leads to a wealth of short-range and long-range ordered structures and complex thermodynamic properties. The location of vacancies and the nature of clusters affect the energetics of mixing in rare earth doped zirconia, hafnia, ceria, urania, and thoria, with systematic trends in energetics as a function of cation radius. High temperature oxide melt solution calorimetry has provided direct measurement of formation enthalpies of these refractory materials. Surface and interfacial energies have also been measured in yttria stabilized zirconia (YSZ) nanomaterials. Other ionic conductors having perovskite, apatite, and mellilite structures are discussed briefly", "author" : [ { "dropping-particle" : "", "family" : "Navrotsky", "given" : "Alexandra", "non-dropping-particle" : "", "parse-names" : false, "suffix" : "" } ], "container-title" : "Journal of Materials Chemistry", "id" : "ITEM-2", "issued" : { "date-parts" : [ [ "2010" ] ] }, "page" : "10577-10587", "title" : "Thermodynamics of solid electrolytes and related oxide ceramics based on the fluorite structure", "type" : "article-journal", "volume" : "20" }, "uris" : [ "http://www.mendeley.com/documents/?uuid=129b463f-dafd-4c31-9f1c-88136c66b4b8" ] }, { "id" : "ITEM-3", "itemData" : { "abstract" : "The effective concentration of mobile oxygen vacancies in heavily doped solid electrolytes (SE) used in electrochemical applications such as oxide fuel cells, electrolyzers, and gas sensors has long been of great interest. It is well-known that not all the oxygen vacancies in such heavily doped SEs are sufficiently mobile due to their association with the dopant cations, and thus, the effective number of mobile oxygen vacancies is smaller than the total number created by acceptor doping. However, the effective concentration of oxygen vacancies in a heavily doped SE cannot be directly obtained from electrical conductivity measurements, unless their mobility is known a priori. Here, we report the combined application of dopant\u2212cation magic angle spinning nuclear magnetic resonance (MAS NMR) and electrochemical impedance (EI) spectroscopic techniques to determine the effective concentration and the mobility of the oxygen vacancies in a heavily doped (59 cat % Y) yttria stabilized zirconia (YSZ). The results clearly demonstrate that the effective concentration of oxygen vacancies in this SE is lower than their nominal concentration by more than a factor of 2, even at 700 \u00b0C. Furthermore, their mobility in this heavily doped YSZ is lower than that in 17 cat % Y-doped zirconia, one of most widely used SE, by orders of magnitude and is characterized by an activation energy (1.38 eV) that is significantly higher in the former than (1.02 eV) in the latter. These results provide a unique and direct mechanistic understanding of the respective roles of concentration and mobility in controlling ionic transport in SEs.", "author" : [ { "dropping-particle" : "", "family" : "Chen", "given" : "Chien-Ting", "non-dropping-particle" : "", "parse-names" : false, "suffix" : "" }, { "dropping-particle" : "", "family" : "Sen", "given" : "Sabyasachi", "non-dropping-particle" : "", "parse-names" : false, "suffix" : "" }, { "dropping-particle" : "", "family" : "Kim", "given" : "Sangtae", "non-dropping-particle" : "", "parse-names" : false, "suffix" : "" } ], "container-title" : "Chemistry of Materials", "id" : "ITEM-3", "issued" : { "date-parts" : [ [ "2012" ] ] }, "page" : "3604-3609", "title" : "Effective Concentration of Mobile Oxygen-Vacancies in Heavily Doped Cubic Zirconia: Results from Combined Electrochemical Impedance and NMR Spectroscopies", "type" : "article-journal", "volume" : "24" }, "uris" : [ "http://www.mendeley.com/documents/?uuid=7caac157-7ba4-4cb9-b424-b7c597490c8c" ] } ], "mendeley" : { "formattedCitation" : "[18\u201320]", "plainTextFormattedCitation" : "[18\u201320]", "previouslyFormattedCitation" : "[18\u201320]" }, "properties" : { "noteIndex" : 0 }, "schema" : "https://github.com/citation-style-language/schema/raw/master/csl-citation.json" }</w:instrText>
      </w:r>
      <w:r w:rsidR="00256196" w:rsidRPr="001519D1">
        <w:rPr>
          <w:rFonts w:ascii="Arial" w:hAnsi="Arial" w:cs="Arial"/>
          <w:lang w:val="en-US"/>
        </w:rPr>
        <w:fldChar w:fldCharType="separate"/>
      </w:r>
      <w:r w:rsidR="00256196" w:rsidRPr="001519D1">
        <w:rPr>
          <w:rFonts w:ascii="Arial" w:hAnsi="Arial" w:cs="Arial"/>
          <w:noProof/>
          <w:lang w:val="en-US"/>
        </w:rPr>
        <w:t>[18–20]</w:t>
      </w:r>
      <w:r w:rsidR="00256196" w:rsidRPr="001519D1">
        <w:rPr>
          <w:rFonts w:ascii="Arial" w:hAnsi="Arial" w:cs="Arial"/>
          <w:lang w:val="en-US"/>
        </w:rPr>
        <w:fldChar w:fldCharType="end"/>
      </w:r>
      <w:r w:rsidR="00256196" w:rsidRPr="001519D1">
        <w:rPr>
          <w:rFonts w:ascii="Arial" w:hAnsi="Arial" w:cs="Arial"/>
          <w:lang w:val="en-US"/>
        </w:rPr>
        <w:t>.</w:t>
      </w:r>
      <w:r w:rsidRPr="001519D1">
        <w:rPr>
          <w:rFonts w:ascii="Arial" w:hAnsi="Arial" w:cs="Arial"/>
          <w:lang w:val="en-US"/>
        </w:rPr>
        <w:t xml:space="preserve"> </w:t>
      </w:r>
    </w:p>
    <w:p w14:paraId="6BE858A5" w14:textId="77777777" w:rsidR="00C25B62" w:rsidRPr="001519D1" w:rsidRDefault="00C25B62" w:rsidP="00C25B62">
      <w:pPr>
        <w:spacing w:after="0" w:line="360" w:lineRule="auto"/>
        <w:rPr>
          <w:rFonts w:ascii="Arial" w:hAnsi="Arial" w:cs="Arial"/>
          <w:lang w:val="en-US"/>
        </w:rPr>
      </w:pPr>
    </w:p>
    <w:p w14:paraId="4B9D91ED" w14:textId="62AB41AD" w:rsidR="00C25B62" w:rsidRPr="001519D1" w:rsidRDefault="00C25B62" w:rsidP="00C25B62">
      <w:pPr>
        <w:spacing w:after="0" w:line="360" w:lineRule="auto"/>
        <w:rPr>
          <w:rFonts w:ascii="Arial" w:hAnsi="Arial" w:cs="Arial"/>
          <w:lang w:val="en-US"/>
        </w:rPr>
      </w:pPr>
      <w:r w:rsidRPr="001519D1">
        <w:rPr>
          <w:rFonts w:ascii="Arial" w:hAnsi="Arial" w:cs="Arial"/>
          <w:lang w:val="en-US"/>
        </w:rPr>
        <w:t>Besides the conducting properties of Mo-based MIEC, Mo oxides have been reported to form bronzes when doped with a few percent of Eu, this generates a semiconductor material capable to hold H</w:t>
      </w:r>
      <w:r w:rsidRPr="001519D1">
        <w:rPr>
          <w:rFonts w:ascii="Arial" w:hAnsi="Arial" w:cs="Arial"/>
          <w:vertAlign w:val="subscript"/>
          <w:lang w:val="en-US"/>
        </w:rPr>
        <w:t>2</w:t>
      </w:r>
      <w:r w:rsidRPr="001519D1">
        <w:rPr>
          <w:rFonts w:ascii="Arial" w:hAnsi="Arial" w:cs="Arial"/>
          <w:lang w:val="en-US"/>
        </w:rPr>
        <w:t xml:space="preserve"> or water molecules between the </w:t>
      </w:r>
      <w:r w:rsidRPr="001519D1">
        <w:rPr>
          <w:rFonts w:ascii="Arial" w:hAnsi="Arial" w:cs="Arial"/>
        </w:rPr>
        <w:t>α</w:t>
      </w:r>
      <w:r w:rsidRPr="001519D1">
        <w:rPr>
          <w:rFonts w:ascii="Arial" w:hAnsi="Arial" w:cs="Arial"/>
          <w:lang w:val="en-US"/>
        </w:rPr>
        <w:t>-MoO</w:t>
      </w:r>
      <w:r w:rsidRPr="001519D1">
        <w:rPr>
          <w:rFonts w:ascii="Arial" w:hAnsi="Arial" w:cs="Arial"/>
          <w:vertAlign w:val="subscript"/>
          <w:lang w:val="en-US"/>
        </w:rPr>
        <w:t>3</w:t>
      </w:r>
      <w:r w:rsidRPr="001519D1">
        <w:rPr>
          <w:rFonts w:ascii="Arial" w:hAnsi="Arial" w:cs="Arial"/>
          <w:lang w:val="en-US"/>
        </w:rPr>
        <w:t xml:space="preserve"> layers</w:t>
      </w:r>
      <w:r w:rsidR="00555B8C" w:rsidRPr="001519D1">
        <w:rPr>
          <w:rFonts w:ascii="Arial" w:hAnsi="Arial" w:cs="Arial"/>
          <w:lang w:val="en-US"/>
        </w:rPr>
        <w:t xml:space="preserve"> </w:t>
      </w:r>
      <w:r w:rsidR="00555B8C" w:rsidRPr="001519D1">
        <w:rPr>
          <w:rFonts w:ascii="Arial" w:hAnsi="Arial" w:cs="Arial"/>
          <w:lang w:val="en-US"/>
        </w:rPr>
        <w:fldChar w:fldCharType="begin" w:fldLock="1"/>
      </w:r>
      <w:r w:rsidR="00555B8C" w:rsidRPr="001519D1">
        <w:rPr>
          <w:rFonts w:ascii="Arial" w:hAnsi="Arial" w:cs="Arial"/>
          <w:lang w:val="en-US"/>
        </w:rPr>
        <w:instrText>ADDIN CSL_CITATION { "citationItems" : [ { "id" : "ITEM-1", "itemData" : { "author" : [ { "dropping-particle" : "", "family" : "Marcus", "given" : "J.", "non-dropping-particle" : "", "parse-names" : false, "suffix" : "" }, { "dropping-particle" : "", "family" : "Escribe-Filippini", "given" : "C.", "non-dropping-particle" : "", "parse-names" : false, "suffix" : "" }, { "dropping-particle" : "", "family" : "Chevalier", "given" : "R.", "non-dropping-particle" : "", "parse-names" : false, "suffix" : "" }, { "dropping-particle" : "", "family" : "Buder", "given" : "R.", "non-dropping-particle" : "", "parse-names" : false, "suffix" : "" } ], "container-title" : "Solid State Communications", "id" : "ITEM-1", "issue" : "4", "issued" : { "date-parts" : [ [ "1987" ] ] }, "page" : "221-223", "title" : "Magnetic properties and 151Eu M\u00f6ssbauer spectroscopy of a new molybdenum bronze: Eu0.08MoO3", "type" : "article-journal", "volume" : "62" }, "uris" : [ "http://www.mendeley.com/documents/?uuid=58f5d34b-10b2-4bcc-8afd-56a11db11174" ] }, { "id" : "ITEM-2", "itemData" : { "author" : [ { "dropping-particle" : "", "family" : "Chippindale", "given" : "A.M.", "non-dropping-particle" : "", "parse-names" : false, "suffix" : "" }, { "dropping-particle" : "", "family" : "Cheetham", "given" : "A.K.", "non-dropping-particle" : "", "parse-names" : false, "suffix" : "" } ], "chapter-number" : "3", "container-title" : "Molybdenum: An Outline of its Chemistry and Uses", "editor" : [ { "dropping-particle" : "", "family" : "Braithwaite", "given" : "E.R.", "non-dropping-particle" : "", "parse-names" : false, "suffix" : "" }, { "dropping-particle" : "", "family" : "Haber", "given" : "J.", "non-dropping-particle" : "", "parse-names" : false, "suffix" : "" } ], "id" : "ITEM-2", "issued" : { "date-parts" : [ [ "1994" ] ] }, "page" : "146-184", "publisher" : "Elsevier Science B.V", "publisher-place" : "The Netherlands", "title" : "Chapter 3. The oxide chemistry of molybdenum", "type" : "chapter" }, "uris" : [ "http://www.mendeley.com/documents/?uuid=a9e89ca1-9910-4f65-a84f-d7a690b638cc" ] } ], "mendeley" : { "formattedCitation" : "[21,22]", "plainTextFormattedCitation" : "[21,22]", "previouslyFormattedCitation" : "[21,22]" }, "properties" : { "noteIndex" : 0 }, "schema" : "https://github.com/citation-style-language/schema/raw/master/csl-citation.json" }</w:instrText>
      </w:r>
      <w:r w:rsidR="00555B8C" w:rsidRPr="001519D1">
        <w:rPr>
          <w:rFonts w:ascii="Arial" w:hAnsi="Arial" w:cs="Arial"/>
          <w:lang w:val="en-US"/>
        </w:rPr>
        <w:fldChar w:fldCharType="separate"/>
      </w:r>
      <w:r w:rsidR="00555B8C" w:rsidRPr="001519D1">
        <w:rPr>
          <w:rFonts w:ascii="Arial" w:hAnsi="Arial" w:cs="Arial"/>
          <w:noProof/>
          <w:lang w:val="en-US"/>
        </w:rPr>
        <w:t>[21,22]</w:t>
      </w:r>
      <w:r w:rsidR="00555B8C" w:rsidRPr="001519D1">
        <w:rPr>
          <w:rFonts w:ascii="Arial" w:hAnsi="Arial" w:cs="Arial"/>
          <w:lang w:val="en-US"/>
        </w:rPr>
        <w:fldChar w:fldCharType="end"/>
      </w:r>
      <w:r w:rsidR="00555B8C" w:rsidRPr="001519D1">
        <w:rPr>
          <w:rFonts w:ascii="Arial" w:hAnsi="Arial" w:cs="Arial"/>
          <w:lang w:val="en-US"/>
        </w:rPr>
        <w:t>.</w:t>
      </w:r>
      <w:r w:rsidRPr="001519D1">
        <w:rPr>
          <w:rFonts w:ascii="Arial" w:hAnsi="Arial" w:cs="Arial"/>
          <w:lang w:val="en-US"/>
        </w:rPr>
        <w:t xml:space="preserve"> In the same way, MoO</w:t>
      </w:r>
      <w:r w:rsidRPr="001519D1">
        <w:rPr>
          <w:rFonts w:ascii="Arial" w:hAnsi="Arial" w:cs="Arial"/>
          <w:vertAlign w:val="subscript"/>
          <w:lang w:val="en-US"/>
        </w:rPr>
        <w:t>3</w:t>
      </w:r>
      <w:r w:rsidRPr="001519D1">
        <w:rPr>
          <w:rFonts w:ascii="Arial" w:hAnsi="Arial" w:cs="Arial"/>
          <w:lang w:val="en-US"/>
        </w:rPr>
        <w:t xml:space="preserve"> forms bronzes on adding H</w:t>
      </w:r>
      <w:r w:rsidRPr="001519D1">
        <w:rPr>
          <w:rFonts w:ascii="Arial" w:hAnsi="Arial" w:cs="Arial"/>
          <w:vertAlign w:val="subscript"/>
          <w:lang w:val="en-US"/>
        </w:rPr>
        <w:t>2</w:t>
      </w:r>
      <w:r w:rsidR="00555B8C" w:rsidRPr="001519D1">
        <w:rPr>
          <w:rFonts w:ascii="Arial" w:hAnsi="Arial" w:cs="Arial"/>
          <w:lang w:val="en-US"/>
        </w:rPr>
        <w:t xml:space="preserve"> </w:t>
      </w:r>
      <w:r w:rsidR="00555B8C" w:rsidRPr="001519D1">
        <w:rPr>
          <w:rFonts w:ascii="Arial" w:hAnsi="Arial" w:cs="Arial"/>
          <w:lang w:val="en-US"/>
        </w:rPr>
        <w:fldChar w:fldCharType="begin" w:fldLock="1"/>
      </w:r>
      <w:r w:rsidR="00555B8C" w:rsidRPr="001519D1">
        <w:rPr>
          <w:rFonts w:ascii="Arial" w:hAnsi="Arial" w:cs="Arial"/>
          <w:lang w:val="en-US"/>
        </w:rPr>
        <w:instrText>ADDIN CSL_CITATION { "citationItems" : [ { "id" : "ITEM-1", "itemData" : { "author" : [ { "dropping-particle" : "", "family" : "Chippindale", "given" : "A.M.", "non-dropping-particle" : "", "parse-names" : false, "suffix" : "" }, { "dropping-particle" : "", "family" : "Cheetham", "given" : "A.K.", "non-dropping-particle" : "", "parse-names" : false, "suffix" : "" } ], "chapter-number" : "3", "container-title" : "Molybdenum: An Outline of its Chemistry and Uses", "editor" : [ { "dropping-particle" : "", "family" : "Braithwaite", "given" : "E.R.", "non-dropping-particle" : "", "parse-names" : false, "suffix" : "" }, { "dropping-particle" : "", "family" : "Haber", "given" : "J.", "non-dropping-particle" : "", "parse-names" : false, "suffix" : "" } ], "id" : "ITEM-1", "issued" : { "date-parts" : [ [ "1994" ] ] }, "page" : "146-184", "publisher" : "Elsevier Science B.V", "publisher-place" : "The Netherlands", "title" : "Chapter 3. The oxide chemistry of molybdenum", "type" : "chapter" }, "uris" : [ "http://www.mendeley.com/documents/?uuid=a9e89ca1-9910-4f65-a84f-d7a690b638cc" ] }, { "id" : "ITEM-2", "itemData" : { "DOI" : "10.1016/0025-5408(76)90218-X", "ISSN" : "00255408", "abstract" : "Chemical or electrochemical reduction of MoO3 in neutral aqueous electrolyte solutions results in the reversible topotactic formation of a new type of molybdenum oxide bronzes A+x(H2O)y[MoO3] x-. The latter are built up by negatively charged [MoO3]x- layers with exchangeable hydrated cations in the interlayer space. Non-solvated cations are taken up between the MoO3 sheets on cathodic reduction of the oxide in organic electrolyte solutions. Galvanostatic studies on the reduction of MoO3 in aqueous acids reveal the strong influence of kinetics on hydrogen ion uptake. Earlier results of Glemser (2) on \"genotypic\" hydrogen bronzes of MoO3 are confirmed. H0.5MoO3 was found to exhibit Br??nsted acid character and to form a novel type of layer intercalation compounds LxH0.5MoO3 with Lewis bases. ?? 1976.", "author" : [ { "dropping-particle" : "", "family" : "Sch\u00f6llhorn", "given" : "R.", "non-dropping-particle" : "", "parse-names" : false, "suffix" : "" }, { "dropping-particle" : "", "family" : "Kuhlmann", "given" : "R.", "non-dropping-particle" : "", "parse-names" : false, "suffix" : "" }, { "dropping-particle" : "", "family" : "Besenhard", "given" : "J.O.", "non-dropping-particle" : "", "parse-names" : false, "suffix" : "" } ], "container-title" : "Materials Research Bulletin", "id" : "ITEM-2", "issue" : "1", "issued" : { "date-parts" : [ [ "1976" ] ] }, "page" : "83-90", "title" : "Topotactic redox reactions and ion exchange of layered MoO3 bronzes", "type" : "article-journal", "volume" : "11" }, "uris" : [ "http://www.mendeley.com/documents/?uuid=25fbec8a-ec24-4316-bc06-081dbb0b9f24" ] }, { "id" : "ITEM-3", "itemData" : { "author" : [ { "dropping-particle" : "", "family" : "Birtill", "given" : "J.J.", "non-dropping-particle" : "", "parse-names" : false, "suffix" : "" }, { "dropping-particle" : "", "family" : "Dickens", "given" : "P.G.", "non-dropping-particle" : "", "parse-names" : false, "suffix" : "" } ], "container-title" : "Materials Research Bulletin", "id" : "ITEM-3", "issued" : { "date-parts" : [ [ "1978" ] ] }, "page" : "311-316", "title" : "Phase relationships in the system HxMoO3 (0&lt;x&lt;=2.0)", "type" : "article-journal", "volume" : "13" }, "uris" : [ "http://www.mendeley.com/documents/?uuid=0049ec10-0b89-4ef7-9fa6-3c4bd3091614" ] }, { "id" : "ITEM-4", "itemData" : { "DOI" : "10.1006/jssc.1999.8498", "ISSN" : "00224596", "abstract" : "Hydrogen molybdenum bronzes HxMoO3 (0&lt; x&lt; 2) are consistently described as low-dimensional mixed conductors, whose properties under ambient conditions are controlled by charge density wave modulations. Proton conduction pathways in the bronzes are modeled by a bond valence approach. The redistribution of hydrogen during the intercalation process between two types of potential proton sites is simulated in a molecular mechanics study. Therefrom a structure model for the bronze phase II (0.85 &lt; x &lt; 1.04) is derived, which permits a Rietveld refinement of its previously unknown structure from powder X-ray data (space group I12/m1; a=14.5191(6) \u00c5, b=3.7944(1) \u00c5, c=7.7248(3) \u00c5, \u03b2=93.743(2)\u00b0 for x\u22480.9). Both the doubling of the host cell along the c-axis in phase II and the 6\u00d7c superstructure found for phase I with x\u22481/3 meet the expectations for quasi-one-dimensional Peierls distorted systems. Modifications in the structure, proton ordering, and properties of the bronzes are studied as a function of temperature. A time-resolved powder XRD investigation on the oxidation of phase II indicates the existence of a intermediate phase H0.6MoO3. The powder structure determination of this metastable phase (space group C2/m, a=14.543(2) \u00c5, b=3.8520(4) \u00c5, c=3.7691(4) \u00c5, \u03b2= 90.73(1)\u00b0) indicates a redistribution of the protons during this oxidation step.", "author" : [ { "dropping-particle" : "", "family" : "Adams", "given" : "Stefan", "non-dropping-particle" : "", "parse-names" : false, "suffix" : "" } ], "container-title" : "Journal of Solid State Chemistry", "id" : "ITEM-4", "issue" : "1", "issued" : { "date-parts" : [ [ "2000" ] ] }, "page" : "75-87", "title" : "CDW Superstructures in Hydrogen Molybdenum Bronzes HxMoO3", "type" : "article-journal", "volume" : "149" }, "uris" : [ "http://www.mendeley.com/documents/?uuid=63ba89eb-4bcc-423f-8031-391aee702ddd" ] } ], "mendeley" : { "formattedCitation" : "[22\u201325]", "plainTextFormattedCitation" : "[22\u201325]", "previouslyFormattedCitation" : "[22\u201325]" }, "properties" : { "noteIndex" : 0 }, "schema" : "https://github.com/citation-style-language/schema/raw/master/csl-citation.json" }</w:instrText>
      </w:r>
      <w:r w:rsidR="00555B8C" w:rsidRPr="001519D1">
        <w:rPr>
          <w:rFonts w:ascii="Arial" w:hAnsi="Arial" w:cs="Arial"/>
          <w:lang w:val="en-US"/>
        </w:rPr>
        <w:fldChar w:fldCharType="separate"/>
      </w:r>
      <w:r w:rsidR="00555B8C" w:rsidRPr="001519D1">
        <w:rPr>
          <w:rFonts w:ascii="Arial" w:hAnsi="Arial" w:cs="Arial"/>
          <w:noProof/>
          <w:lang w:val="en-US"/>
        </w:rPr>
        <w:t>[22–25]</w:t>
      </w:r>
      <w:r w:rsidR="00555B8C" w:rsidRPr="001519D1">
        <w:rPr>
          <w:rFonts w:ascii="Arial" w:hAnsi="Arial" w:cs="Arial"/>
          <w:lang w:val="en-US"/>
        </w:rPr>
        <w:fldChar w:fldCharType="end"/>
      </w:r>
      <w:r w:rsidR="00555B8C" w:rsidRPr="001519D1">
        <w:rPr>
          <w:rFonts w:ascii="Arial" w:hAnsi="Arial" w:cs="Arial"/>
          <w:lang w:val="en-US"/>
        </w:rPr>
        <w:t>,</w:t>
      </w:r>
      <w:r w:rsidRPr="001519D1">
        <w:rPr>
          <w:rFonts w:ascii="Arial" w:hAnsi="Arial" w:cs="Arial"/>
          <w:lang w:val="en-US"/>
        </w:rPr>
        <w:t xml:space="preserve"> that is dissociated and bonded as –OH or –OH</w:t>
      </w:r>
      <w:r w:rsidRPr="001519D1">
        <w:rPr>
          <w:rFonts w:ascii="Arial" w:hAnsi="Arial" w:cs="Arial"/>
          <w:vertAlign w:val="subscript"/>
          <w:lang w:val="en-US"/>
        </w:rPr>
        <w:t>2</w:t>
      </w:r>
      <w:r w:rsidRPr="001519D1">
        <w:rPr>
          <w:rFonts w:ascii="Arial" w:hAnsi="Arial" w:cs="Arial"/>
          <w:lang w:val="en-US"/>
        </w:rPr>
        <w:t xml:space="preserve"> groups, depending on the H</w:t>
      </w:r>
      <w:r w:rsidRPr="001519D1">
        <w:rPr>
          <w:rFonts w:ascii="Arial" w:hAnsi="Arial" w:cs="Arial"/>
          <w:vertAlign w:val="subscript"/>
          <w:lang w:val="en-US"/>
        </w:rPr>
        <w:t>2</w:t>
      </w:r>
      <w:r w:rsidRPr="001519D1">
        <w:rPr>
          <w:rFonts w:ascii="Arial" w:hAnsi="Arial" w:cs="Arial"/>
          <w:lang w:val="en-US"/>
        </w:rPr>
        <w:t xml:space="preserve"> concentration. The H</w:t>
      </w:r>
      <w:r w:rsidRPr="001519D1">
        <w:rPr>
          <w:rFonts w:ascii="Arial" w:hAnsi="Arial" w:cs="Arial"/>
          <w:vertAlign w:val="subscript"/>
          <w:lang w:val="en-US"/>
        </w:rPr>
        <w:t>2</w:t>
      </w:r>
      <w:r w:rsidRPr="001519D1">
        <w:rPr>
          <w:rFonts w:ascii="Arial" w:hAnsi="Arial" w:cs="Arial"/>
          <w:lang w:val="en-US"/>
        </w:rPr>
        <w:t xml:space="preserve"> inclusion in MoO</w:t>
      </w:r>
      <w:r w:rsidRPr="001519D1">
        <w:rPr>
          <w:rFonts w:ascii="Arial" w:hAnsi="Arial" w:cs="Arial"/>
          <w:vertAlign w:val="subscript"/>
          <w:lang w:val="en-US"/>
        </w:rPr>
        <w:t>3</w:t>
      </w:r>
      <w:r w:rsidRPr="001519D1">
        <w:rPr>
          <w:rFonts w:ascii="Arial" w:hAnsi="Arial" w:cs="Arial"/>
          <w:lang w:val="en-US"/>
        </w:rPr>
        <w:t xml:space="preserve"> phases does not control the electronic properties but has influence in the crystal structure, affecting thereby the hydrogen mobility</w:t>
      </w:r>
      <w:r w:rsidR="00555B8C" w:rsidRPr="001519D1">
        <w:rPr>
          <w:rFonts w:ascii="Arial" w:hAnsi="Arial" w:cs="Arial"/>
          <w:lang w:val="en-US"/>
        </w:rPr>
        <w:t xml:space="preserve"> </w:t>
      </w:r>
      <w:r w:rsidR="00555B8C" w:rsidRPr="001519D1">
        <w:rPr>
          <w:rFonts w:ascii="Arial" w:hAnsi="Arial" w:cs="Arial"/>
          <w:lang w:val="en-US"/>
        </w:rPr>
        <w:fldChar w:fldCharType="begin" w:fldLock="1"/>
      </w:r>
      <w:r w:rsidR="00555B8C" w:rsidRPr="001519D1">
        <w:rPr>
          <w:rFonts w:ascii="Arial" w:hAnsi="Arial" w:cs="Arial"/>
          <w:lang w:val="en-US"/>
        </w:rPr>
        <w:instrText>ADDIN CSL_CITATION { "citationItems" : [ { "id" : "ITEM-1", "itemData" : { "author" : [ { "dropping-particle" : "", "family" : "Sch\u00f6llhorn", "given" : "Robert", "non-dropping-particle" : "", "parse-names" : false, "suffix" : "" }, { "dropping-particle" : "", "family" : "Schulte-N\u00f6lle", "given" : "Theodor", "non-dropping-particle" : "", "parse-names" : false, "suffix" : "" }, { "dropping-particle" : "", "family" : "Steinhoff", "given" : "Gerhard", "non-dropping-particle" : "", "parse-names" : false, "suffix" : "" } ], "container-title" : "Journal of the Less-Common Metals", "id" : "ITEM-1", "issued" : { "date-parts" : [ [ "1980" ] ] }, "page" : "71-78", "title" : "Layered intercalation complexes of the hydrogen bronze H0.5MoO3 with organic lewis bases", "type" : "article-journal", "volume" : "71" }, "uris" : [ "http://www.mendeley.com/documents/?uuid=1f37542b-ac20-4423-bd95-b2675db597ca" ] }, { "id" : "ITEM-2", "itemData" : { "author" : [ { "dropping-particle" : "", "family" : "Bollapragada", "given" : "Phani Kiran S.", "non-dropping-particle" : "", "parse-names" : false, "suffix" : "" } ], "id" : "ITEM-2", "issued" : { "date-parts" : [ [ "2003" ] ] }, "number-of-pages" : "118", "title" : "Chemical transformations using tungsten and molybdenum hydrogen bronzes", "type" : "thesis" }, "uris" : [ "http://www.mendeley.com/documents/?uuid=d3909a96-cc66-4f73-8c1e-57d06c838ca1" ] }, { "id" : "ITEM-3", "itemData" : { "author" : [ { "dropping-particle" : "", "family" : "Seguin", "given" : "L.", "non-dropping-particle" : "", "parse-names" : false, "suffix" : "" }, { "dropping-particle" : "", "family" : "Figlarz", "given" : "M.", "non-dropping-particle" : "", "parse-names" : false, "suffix" : "" }, { "dropping-particle" : "", "family" : "Cavagnat", "given" : "R.", "non-dropping-particle" : "", "parse-names" : false, "suffix" : "" }, { "dropping-particle" : "", "family" : "Lass\u00e8gues", "given" : "J.-C.", "non-dropping-particle" : "", "parse-names" : false, "suffix" : "" } ], "container-title" : "Spectrochimica Acta Part A", "id" : "ITEM-3", "issued" : { "date-parts" : [ [ "1995" ] ] }, "page" : "1323-1344", "title" : "Infrared and Raman spectra of MoO3 molybdenum trioxides and MoO3\u00b7xH2O molybdenum trioxide hydrates", "type" : "article-journal", "volume" : "51" }, "uris" : [ "http://www.mendeley.com/documents/?uuid=9a45dd6b-2331-438b-b56e-115d76e6c23a" ] } ], "mendeley" : { "formattedCitation" : "[26\u201328]", "plainTextFormattedCitation" : "[26\u201328]", "previouslyFormattedCitation" : "[26\u201328]" }, "properties" : { "noteIndex" : 0 }, "schema" : "https://github.com/citation-style-language/schema/raw/master/csl-citation.json" }</w:instrText>
      </w:r>
      <w:r w:rsidR="00555B8C" w:rsidRPr="001519D1">
        <w:rPr>
          <w:rFonts w:ascii="Arial" w:hAnsi="Arial" w:cs="Arial"/>
          <w:lang w:val="en-US"/>
        </w:rPr>
        <w:fldChar w:fldCharType="separate"/>
      </w:r>
      <w:r w:rsidR="00555B8C" w:rsidRPr="001519D1">
        <w:rPr>
          <w:rFonts w:ascii="Arial" w:hAnsi="Arial" w:cs="Arial"/>
          <w:noProof/>
          <w:lang w:val="en-US"/>
        </w:rPr>
        <w:t>[26–28]</w:t>
      </w:r>
      <w:r w:rsidR="00555B8C" w:rsidRPr="001519D1">
        <w:rPr>
          <w:rFonts w:ascii="Arial" w:hAnsi="Arial" w:cs="Arial"/>
          <w:lang w:val="en-US"/>
        </w:rPr>
        <w:fldChar w:fldCharType="end"/>
      </w:r>
      <w:r w:rsidR="00555B8C" w:rsidRPr="001519D1">
        <w:rPr>
          <w:rFonts w:ascii="Arial" w:hAnsi="Arial" w:cs="Arial"/>
          <w:lang w:val="en-US"/>
        </w:rPr>
        <w:t>.</w:t>
      </w:r>
      <w:r w:rsidRPr="001519D1">
        <w:rPr>
          <w:rFonts w:ascii="Arial" w:hAnsi="Arial" w:cs="Arial"/>
          <w:lang w:val="en-US"/>
        </w:rPr>
        <w:t xml:space="preserve"> Proton species can diffuse through the oxide lattice and the –OH or –OH</w:t>
      </w:r>
      <w:r w:rsidRPr="001519D1">
        <w:rPr>
          <w:rFonts w:ascii="Arial" w:hAnsi="Arial" w:cs="Arial"/>
          <w:vertAlign w:val="subscript"/>
          <w:lang w:val="en-US"/>
        </w:rPr>
        <w:t>2</w:t>
      </w:r>
      <w:r w:rsidRPr="001519D1">
        <w:rPr>
          <w:rFonts w:ascii="Arial" w:hAnsi="Arial" w:cs="Arial"/>
          <w:lang w:val="en-US"/>
        </w:rPr>
        <w:t xml:space="preserve"> groups on the oxide surface provide bridges for the H</w:t>
      </w:r>
      <w:r w:rsidRPr="001519D1">
        <w:rPr>
          <w:rFonts w:ascii="Arial" w:hAnsi="Arial" w:cs="Arial"/>
          <w:vertAlign w:val="superscript"/>
          <w:lang w:val="en-US"/>
        </w:rPr>
        <w:t>+</w:t>
      </w:r>
      <w:r w:rsidRPr="001519D1">
        <w:rPr>
          <w:rFonts w:ascii="Arial" w:hAnsi="Arial" w:cs="Arial"/>
          <w:lang w:val="en-US"/>
        </w:rPr>
        <w:t xml:space="preserve"> migration</w:t>
      </w:r>
      <w:r w:rsidR="00555B8C" w:rsidRPr="001519D1">
        <w:rPr>
          <w:rFonts w:ascii="Arial" w:hAnsi="Arial" w:cs="Arial"/>
          <w:lang w:val="en-US"/>
        </w:rPr>
        <w:t xml:space="preserve"> </w:t>
      </w:r>
      <w:r w:rsidR="00555B8C" w:rsidRPr="001519D1">
        <w:rPr>
          <w:rFonts w:ascii="Arial" w:hAnsi="Arial" w:cs="Arial"/>
          <w:lang w:val="en-US"/>
        </w:rPr>
        <w:fldChar w:fldCharType="begin" w:fldLock="1"/>
      </w:r>
      <w:r w:rsidR="00555B8C" w:rsidRPr="001519D1">
        <w:rPr>
          <w:rFonts w:ascii="Arial" w:hAnsi="Arial" w:cs="Arial"/>
          <w:lang w:val="en-US"/>
        </w:rPr>
        <w:instrText>ADDIN CSL_CITATION { "citationItems" : [ { "id" : "ITEM-1", "itemData" : { "DOI" : "10.1006/jssc.1999.8498", "ISSN" : "00224596", "abstract" : "Hydrogen molybdenum bronzes HxMoO3 (0&lt; x&lt; 2) are consistently described as low-dimensional mixed conductors, whose properties under ambient conditions are controlled by charge density wave modulations. Proton conduction pathways in the bronzes are modeled by a bond valence approach. The redistribution of hydrogen during the intercalation process between two types of potential proton sites is simulated in a molecular mechanics study. Therefrom a structure model for the bronze phase II (0.85 &lt; x &lt; 1.04) is derived, which permits a Rietveld refinement of its previously unknown structure from powder X-ray data (space group I12/m1; a=14.5191(6) \u00c5, b=3.7944(1) \u00c5, c=7.7248(3) \u00c5, \u03b2=93.743(2)\u00b0 for x\u22480.9). Both the doubling of the host cell along the c-axis in phase II and the 6\u00d7c superstructure found for phase I with x\u22481/3 meet the expectations for quasi-one-dimensional Peierls distorted systems. Modifications in the structure, proton ordering, and properties of the bronzes are studied as a function of temperature. A time-resolved powder XRD investigation on the oxidation of phase II indicates the existence of a intermediate phase H0.6MoO3. The powder structure determination of this metastable phase (space group C2/m, a=14.543(2) \u00c5, b=3.8520(4) \u00c5, c=3.7691(4) \u00c5, \u03b2= 90.73(1)\u00b0) indicates a redistribution of the protons during this oxidation step.", "author" : [ { "dropping-particle" : "", "family" : "Adams", "given" : "Stefan", "non-dropping-particle" : "", "parse-names" : false, "suffix" : "" } ], "container-title" : "Journal of Solid State Chemistry", "id" : "ITEM-1", "issue" : "1", "issued" : { "date-parts" : [ [ "2000" ] ] }, "page" : "75-87", "title" : "CDW Superstructures in Hydrogen Molybdenum Bronzes HxMoO3", "type" : "article-journal", "volume" : "149" }, "uris" : [ "http://www.mendeley.com/documents/?uuid=63ba89eb-4bcc-423f-8031-391aee702ddd" ] }, { "id" : "ITEM-2", "itemData" : { "author" : [ { "dropping-particle" : "", "family" : "Dickens", "given" : "P.G.", "non-dropping-particle" : "", "parse-names" : false, "suffix" : "" }, { "dropping-particle" : "", "family" : "Birtill", "given" : "J.J.", "non-dropping-particle" : "", "parse-names" : false, "suffix" : "" }, { "dropping-particle" : "", "family" : "Wright", "given" : "C.J.", "non-dropping-particle" : "", "parse-names" : false, "suffix" : "" } ], "container-title" : "Journal of Solid State Chemistry", "id" : "ITEM-2", "issued" : { "date-parts" : [ [ "1979" ] ] }, "page" : "185-193", "title" : "Elastic and Inelastic Neutron Studies of Hydrogen Molybdenum Bronzes", "type" : "article-journal", "volume" : "28" }, "uris" : [ "http://www.mendeley.com/documents/?uuid=976b5cb5-5db9-44c4-9d0d-3db109c756a2" ] }, { "id" : "ITEM-3", "itemData" : { "DOI" : "10.1016/S0167-2991(08)64669-8", "ISBN" : "9780444422248", "ISSN" : "01672991", "abstract" : "ABSTRACT\\nVolumetric adsorption, ESR, NMR and IR measurements have been used to study the effect of H2 adsorption and desorption at 295 K on a TiO2-supported rhodium catalyst. Three situations have been differentiated along the reduction process of the samples from RhCl3/anatase to Rh (metal)/rutile: (a) when rhodium is stabilised as Rh+ a small part of the important H2 adsorption is in close interaction with the support; (b) in the situation Rh\u00b0/anatase a more substantial amount of the adsorbed hydrogen is spilt reversibly over the support; (c) H2 adsorption is small after reduction and pumping at 773 K, but a certain amount of hydrogen has been stabilised inside the rutilised support during the high-temperature treatment.", "container-title" : "Studies in Surface Science and Catalysis", "editor" : [ { "dropping-particle" : "", "family" : "Pajonk", "given" : "G.M.", "non-dropping-particle" : "", "parse-names" : false, "suffix" : "" }, { "dropping-particle" : "", "family" : "Teichner", "given" : "S.J.", "non-dropping-particle" : "", "parse-names" : false, "suffix" : "" }, { "dropping-particle" : "", "family" : "Germain", "given" : "J.E.", "non-dropping-particle" : "", "parse-names" : false, "suffix" : "" } ], "id" : "ITEM-3", "issued" : { "date-parts" : [ [ "1983" ] ] }, "number-of-pages" : "1-319", "publisher" : "Elsevier Science Publishers B.V", "publisher-place" : "Amsterdam, The Netherlands", "title" : "Spillover of Adsorbed Species", "type" : "book", "volume" : "17" }, "uris" : [ "http://www.mendeley.com/documents/?uuid=d09dcca1-6fab-4c99-965a-a062acf749a8" ] } ], "mendeley" : { "formattedCitation" : "[25,29,30]", "plainTextFormattedCitation" : "[25,29,30]", "previouslyFormattedCitation" : "[25,29,30]" }, "properties" : { "noteIndex" : 0 }, "schema" : "https://github.com/citation-style-language/schema/raw/master/csl-citation.json" }</w:instrText>
      </w:r>
      <w:r w:rsidR="00555B8C" w:rsidRPr="001519D1">
        <w:rPr>
          <w:rFonts w:ascii="Arial" w:hAnsi="Arial" w:cs="Arial"/>
          <w:lang w:val="en-US"/>
        </w:rPr>
        <w:fldChar w:fldCharType="separate"/>
      </w:r>
      <w:r w:rsidR="00555B8C" w:rsidRPr="001519D1">
        <w:rPr>
          <w:rFonts w:ascii="Arial" w:hAnsi="Arial" w:cs="Arial"/>
          <w:noProof/>
          <w:lang w:val="en-US"/>
        </w:rPr>
        <w:t>[25,29,30]</w:t>
      </w:r>
      <w:r w:rsidR="00555B8C" w:rsidRPr="001519D1">
        <w:rPr>
          <w:rFonts w:ascii="Arial" w:hAnsi="Arial" w:cs="Arial"/>
          <w:lang w:val="en-US"/>
        </w:rPr>
        <w:fldChar w:fldCharType="end"/>
      </w:r>
      <w:r w:rsidR="00555B8C" w:rsidRPr="001519D1">
        <w:rPr>
          <w:rFonts w:ascii="Arial" w:hAnsi="Arial" w:cs="Arial"/>
          <w:lang w:val="en-US"/>
        </w:rPr>
        <w:t>.</w:t>
      </w:r>
      <w:r w:rsidRPr="001519D1">
        <w:rPr>
          <w:rFonts w:ascii="Arial" w:hAnsi="Arial" w:cs="Arial"/>
          <w:lang w:val="en-US"/>
        </w:rPr>
        <w:t xml:space="preserve"> Ion-</w:t>
      </w:r>
      <w:r w:rsidRPr="001519D1">
        <w:rPr>
          <w:rFonts w:ascii="Arial" w:hAnsi="Arial" w:cs="Arial"/>
          <w:lang w:val="en-US"/>
        </w:rPr>
        <w:lastRenderedPageBreak/>
        <w:t>exchange properties of bronzes due to their ionic structure have been widely studied</w:t>
      </w:r>
      <w:r w:rsidR="00555B8C" w:rsidRPr="001519D1">
        <w:rPr>
          <w:rFonts w:ascii="Arial" w:hAnsi="Arial" w:cs="Arial"/>
          <w:lang w:val="en-US"/>
        </w:rPr>
        <w:t xml:space="preserve"> </w:t>
      </w:r>
      <w:r w:rsidR="00555B8C" w:rsidRPr="001519D1">
        <w:rPr>
          <w:rFonts w:ascii="Arial" w:hAnsi="Arial" w:cs="Arial"/>
          <w:lang w:val="en-US"/>
        </w:rPr>
        <w:fldChar w:fldCharType="begin" w:fldLock="1"/>
      </w:r>
      <w:r w:rsidR="000B1F92" w:rsidRPr="001519D1">
        <w:rPr>
          <w:rFonts w:ascii="Arial" w:hAnsi="Arial" w:cs="Arial"/>
          <w:lang w:val="en-US"/>
        </w:rPr>
        <w:instrText>ADDIN CSL_CITATION { "citationItems" : [ { "id" : "ITEM-1", "itemData" : { "author" : [ { "dropping-particle" : "", "family" : "Sch\u00f6llhorn", "given" : "Robert", "non-dropping-particle" : "", "parse-names" : false, "suffix" : "" }, { "dropping-particle" : "", "family" : "Schulte-N\u00f6lle", "given" : "Theodor", "non-dropping-particle" : "", "parse-names" : false, "suffix" : "" }, { "dropping-particle" : "", "family" : "Steinhoff", "given" : "Gerhard", "non-dropping-particle" : "", "parse-names" : false, "suffix" : "" } ], "container-title" : "Journal of the Less-Common Metals", "id" : "ITEM-1", "issued" : { "date-parts" : [ [ "1980" ] ] }, "page" : "71-78", "title" : "Layered intercalation complexes of the hydrogen bronze H0.5MoO3 with organic lewis bases", "type" : "article-journal", "volume" : "71" }, "uris" : [ "http://www.mendeley.com/documents/?uuid=1f37542b-ac20-4423-bd95-b2675db597ca" ] }, { "id" : "ITEM-2", "itemData" : { "author" : [ { "dropping-particle" : "", "family" : "Tagaya", "given" : "Hideyuki", "non-dropping-particle" : "", "parse-names" : false, "suffix" : "" }, { "dropping-particle" : "", "family" : "Ara", "given" : "Kensuke", "non-dropping-particle" : "", "parse-names" : false, "suffix" : "" }, { "dropping-particle" : "", "family" : "Kadokawa", "given" : "Jun-ichi", "non-dropping-particle" : "", "parse-names" : false, "suffix" : "" }, { "dropping-particle" : "", "family" : "Karasu", "given" : "Masa", "non-dropping-particle" : "", "parse-names" : false, "suffix" : "" }, { "dropping-particle" : "", "family" : "Chiba", "given" : "Koji", "non-dropping-particle" : "", "parse-names" : false, "suffix" : "" } ], "container-title" : "Journal of Materials Chemistry", "id" : "ITEM-2", "issue" : "4", "issued" : { "date-parts" : [ [ "1994" ] ] }, "page" : "551-555", "title" : "Intercalation of Organic Compounds in the Layered Host Lattice MoO3", "type" : "article-journal", "volume" : "4" }, "uris" : [ "http://www.mendeley.com/documents/?uuid=ff46fdbe-190b-41fd-8c5b-2cfc1590040b" ] }, { "id" : "ITEM-3", "itemData" : { "DOI" : "10.1016/0263-4368(94)00031-X", "ISBN" : "0263-4368", "ISSN" : "02634368", "abstract" : "Ammonium paratungstate (APT) is the generally accepted starting material in tungsten manufacturing. The dopants, which are responsible for the non-sag properties, are given to some tungsten oxide bronze (TOB)-type compounds which are formed by thermal reductive decomposition of APT. The doped TOB is reduced in a H2 atmosphere to tungsten metal grains. The powder metallurgical processing and the following thermomechanical treatment of the metal powder result in the formation of the non-sag wire. The bronze forming compounds (Mzx) in this case are NH4+ or H+ ions, or both of them, but the degree of reduction, i.e. the oxygen deficiency, may vary in the WO3, therefore, the description of the possible compounds seems to be necessary. We have the general formula of Mx(z)WO3 - y + z.x 2, where y{less-than or greater-than} zx 2 conditions are possible. We also give a phase diagram in which we have located the possible types of compounds. The preparation methods of oxide bronzes (OBs) and the general structural characterization of OBs are described with special attention to ATOB and HTOB compounds. Because many experiences prove the advantages of ionexchange doping, such properties of TOBs have also been discussed. \u00a9 1995.", "author" : [ { "dropping-particle" : "", "family" : "Bartha", "given" : "L.", "non-dropping-particle" : "", "parse-names" : false, "suffix" : "" }, { "dropping-particle" : "", "family" : "Kiss", "given" : "A.B.", "non-dropping-particle" : "", "parse-names" : false, "suffix" : "" }, { "dropping-particle" : "", "family" : "Szalay", "given" : "T.", "non-dropping-particle" : "", "parse-names" : false, "suffix" : "" } ], "container-title" : "International Journal of Refractory Metals and Hard Materials", "id" : "ITEM-3", "issue" : "1-3", "issued" : { "date-parts" : [ [ "1995" ] ] }, "page" : "77-91", "title" : "Chemistry of Tungsten Oxide Bronzes", "type" : "article-journal", "volume" : "13" }, "uris" : [ "http://www.mendeley.com/documents/?uuid=50f9e265-f97c-433f-806f-7db75b640f73" ] }, { "id" : "ITEM-4", "itemData" : { "DOI" : "10.1007/BF01161456", "ISSN" : "00222461", "abstract" : "A possible chemical model for the doping of tungsten metal was studied using technological blue oxide [(NH4)xWO3]. Applying potassium-42 and rubidium-86 radioactive isotopes as tracers Langmuir-H\u00fcckel type isotherms were determined. The constants of the isotherms led to conclusions on how the ion-exchange capacity of blue oxide and the solubility of the adsorbate varied as a function of composition of the solutions. The results show the conclusions that: (1) primarily the acidic protons of the OH-groups from the dissociative adsorption of water, and not the ions of the crystal lattice (NH4+) which can be exchanged for ions of the liquid phase, and consequently (2) there is a certain possibility for controlling the ratio of the adsorbed potassium-, aluminium-, and silicate-doping ions.[/p] \u00a9 1987 Chapman and Hall Ltd.", "author" : [ { "dropping-particle" : "", "family" : "Szalay", "given" : "T.", "non-dropping-particle" : "", "parse-names" : false, "suffix" : "" }, { "dropping-particle" : "", "family" : "Lud\u00e1nyi", "given" : "A.", "non-dropping-particle" : "", "parse-names" : false, "suffix" : "" }, { "dropping-particle" : "", "family" : "Kiss", "given" : "B.A.", "non-dropping-particle" : "", "parse-names" : false, "suffix" : "" } ], "container-title" : "Journal of Materials Science", "id" : "ITEM-4", "issue" : "10", "issued" : { "date-parts" : [ [ "1987" ] ] }, "page" : "3543-3546", "title" : "Ion exchange adsorption processes on the surface of ammonium tungsten oxide bronze in aqueous media", "type" : "article-journal", "volume" : "22" }, "uris" : [ "http://www.mendeley.com/documents/?uuid=60ff0160-9969-4c23-8524-a481de8e9680" ] } ], "mendeley" : { "formattedCitation" : "[26,31\u201333]", "plainTextFormattedCitation" : "[26,31\u201333]", "previouslyFormattedCitation" : "[26,31\u201333]" }, "properties" : { "noteIndex" : 0 }, "schema" : "https://github.com/citation-style-language/schema/raw/master/csl-citation.json" }</w:instrText>
      </w:r>
      <w:r w:rsidR="00555B8C" w:rsidRPr="001519D1">
        <w:rPr>
          <w:rFonts w:ascii="Arial" w:hAnsi="Arial" w:cs="Arial"/>
          <w:lang w:val="en-US"/>
        </w:rPr>
        <w:fldChar w:fldCharType="separate"/>
      </w:r>
      <w:r w:rsidR="00555B8C" w:rsidRPr="001519D1">
        <w:rPr>
          <w:rFonts w:ascii="Arial" w:hAnsi="Arial" w:cs="Arial"/>
          <w:noProof/>
          <w:lang w:val="en-US"/>
        </w:rPr>
        <w:t>[26,31–33]</w:t>
      </w:r>
      <w:r w:rsidR="00555B8C" w:rsidRPr="001519D1">
        <w:rPr>
          <w:rFonts w:ascii="Arial" w:hAnsi="Arial" w:cs="Arial"/>
          <w:lang w:val="en-US"/>
        </w:rPr>
        <w:fldChar w:fldCharType="end"/>
      </w:r>
      <w:r w:rsidR="00555B8C" w:rsidRPr="001519D1">
        <w:rPr>
          <w:rFonts w:ascii="Arial" w:hAnsi="Arial" w:cs="Arial"/>
          <w:lang w:val="en-US"/>
        </w:rPr>
        <w:t>.</w:t>
      </w:r>
      <w:r w:rsidRPr="001519D1">
        <w:rPr>
          <w:rFonts w:ascii="Arial" w:hAnsi="Arial" w:cs="Arial"/>
          <w:lang w:val="en-US"/>
        </w:rPr>
        <w:t xml:space="preserve"> It is reported that the lattice forming ions are not exchanged, but the protons of the water molecules adsorbed on the surface are</w:t>
      </w:r>
      <w:r w:rsidR="000B1F92" w:rsidRPr="001519D1">
        <w:rPr>
          <w:rFonts w:ascii="Arial" w:hAnsi="Arial" w:cs="Arial"/>
          <w:lang w:val="en-US"/>
        </w:rPr>
        <w:t xml:space="preserve"> </w:t>
      </w:r>
      <w:r w:rsidR="000B1F92" w:rsidRPr="001519D1">
        <w:rPr>
          <w:rFonts w:ascii="Arial" w:hAnsi="Arial" w:cs="Arial"/>
          <w:lang w:val="en-US"/>
        </w:rPr>
        <w:fldChar w:fldCharType="begin" w:fldLock="1"/>
      </w:r>
      <w:r w:rsidR="000B1F92" w:rsidRPr="001519D1">
        <w:rPr>
          <w:rFonts w:ascii="Arial" w:hAnsi="Arial" w:cs="Arial"/>
          <w:lang w:val="en-US"/>
        </w:rPr>
        <w:instrText>ADDIN CSL_CITATION { "citationItems" : [ { "id" : "ITEM-1", "itemData" : { "DOI" : "10.1016/0025-5408(76)90218-X", "ISSN" : "00255408", "abstract" : "Chemical or electrochemical reduction of MoO3 in neutral aqueous electrolyte solutions results in the reversible topotactic formation of a new type of molybdenum oxide bronzes A+x(H2O)y[MoO3] x-. The latter are built up by negatively charged [MoO3]x- layers with exchangeable hydrated cations in the interlayer space. Non-solvated cations are taken up between the MoO3 sheets on cathodic reduction of the oxide in organic electrolyte solutions. Galvanostatic studies on the reduction of MoO3 in aqueous acids reveal the strong influence of kinetics on hydrogen ion uptake. Earlier results of Glemser (2) on \"genotypic\" hydrogen bronzes of MoO3 are confirmed. H0.5MoO3 was found to exhibit Br??nsted acid character and to form a novel type of layer intercalation compounds LxH0.5MoO3 with Lewis bases. ?? 1976.", "author" : [ { "dropping-particle" : "", "family" : "Sch\u00f6llhorn", "given" : "R.", "non-dropping-particle" : "", "parse-names" : false, "suffix" : "" }, { "dropping-particle" : "", "family" : "Kuhlmann", "given" : "R.", "non-dropping-particle" : "", "parse-names" : false, "suffix" : "" }, { "dropping-particle" : "", "family" : "Besenhard", "given" : "J.O.", "non-dropping-particle" : "", "parse-names" : false, "suffix" : "" } ], "container-title" : "Materials Research Bulletin", "id" : "ITEM-1", "issue" : "1", "issued" : { "date-parts" : [ [ "1976" ] ] }, "page" : "83-90", "title" : "Topotactic redox reactions and ion exchange of layered MoO3 bronzes", "type" : "article-journal", "volume" : "11" }, "uris" : [ "http://www.mendeley.com/documents/?uuid=25fbec8a-ec24-4316-bc06-081dbb0b9f24" ] }, { "id" : "ITEM-2", "itemData" : { "author" : [ { "dropping-particle" : "", "family" : "Sch\u00f6llhorn", "given" : "Robert", "non-dropping-particle" : "", "parse-names" : false, "suffix" : "" }, { "dropping-particle" : "", "family" : "Schulte-N\u00f6lle", "given" : "Theodor", "non-dropping-particle" : "", "parse-names" : false, "suffix" : "" }, { "dropping-particle" : "", "family" : "Steinhoff", "given" : "Gerhard", "non-dropping-particle" : "", "parse-names" : false, "suffix" : "" } ], "container-title" : "Journal of the Less-Common Metals", "id" : "ITEM-2", "issued" : { "date-parts" : [ [ "1980" ] ] }, "page" : "71-78", "title" : "Layered intercalation complexes of the hydrogen bronze H0.5MoO3 with organic lewis bases", "type" : "article-journal", "volume" : "71" }, "uris" : [ "http://www.mendeley.com/documents/?uuid=1f37542b-ac20-4423-bd95-b2675db597ca" ] }, { "id" : "ITEM-3", "itemData" : { "DOI" : "10.1016/0263-4368(94)00031-X", "ISBN" : "0263-4368", "ISSN" : "02634368", "abstract" : "Ammonium paratungstate (APT) is the generally accepted starting material in tungsten manufacturing. The dopants, which are responsible for the non-sag properties, are given to some tungsten oxide bronze (TOB)-type compounds which are formed by thermal reductive decomposition of APT. The doped TOB is reduced in a H2 atmosphere to tungsten metal grains. The powder metallurgical processing and the following thermomechanical treatment of the metal powder result in the formation of the non-sag wire. The bronze forming compounds (Mzx) in this case are NH4+ or H+ ions, or both of them, but the degree of reduction, i.e. the oxygen deficiency, may vary in the WO3, therefore, the description of the possible compounds seems to be necessary. We have the general formula of Mx(z)WO3 - y + z.x 2, where y{less-than or greater-than} zx 2 conditions are possible. We also give a phase diagram in which we have located the possible types of compounds. The preparation methods of oxide bronzes (OBs) and the general structural characterization of OBs are described with special attention to ATOB and HTOB compounds. Because many experiences prove the advantages of ionexchange doping, such properties of TOBs have also been discussed. \u00a9 1995.", "author" : [ { "dropping-particle" : "", "family" : "Bartha", "given" : "L.", "non-dropping-particle" : "", "parse-names" : false, "suffix" : "" }, { "dropping-particle" : "", "family" : "Kiss", "given" : "A.B.", "non-dropping-particle" : "", "parse-names" : false, "suffix" : "" }, { "dropping-particle" : "", "family" : "Szalay", "given" : "T.", "non-dropping-particle" : "", "parse-names" : false, "suffix" : "" } ], "container-title" : "International Journal of Refractory Metals and Hard Materials", "id" : "ITEM-3", "issue" : "1-3", "issued" : { "date-parts" : [ [ "1995" ] ] }, "page" : "77-91", "title" : "Chemistry of Tungsten Oxide Bronzes", "type" : "article-journal", "volume" : "13" }, "uris" : [ "http://www.mendeley.com/documents/?uuid=50f9e265-f97c-433f-806f-7db75b640f73" ] } ], "mendeley" : { "formattedCitation" : "[23,26,32]", "plainTextFormattedCitation" : "[23,26,32]", "previouslyFormattedCitation" : "[23,26,32]" }, "properties" : { "noteIndex" : 0 }, "schema" : "https://github.com/citation-style-language/schema/raw/master/csl-citation.json" }</w:instrText>
      </w:r>
      <w:r w:rsidR="000B1F92" w:rsidRPr="001519D1">
        <w:rPr>
          <w:rFonts w:ascii="Arial" w:hAnsi="Arial" w:cs="Arial"/>
          <w:lang w:val="en-US"/>
        </w:rPr>
        <w:fldChar w:fldCharType="separate"/>
      </w:r>
      <w:r w:rsidR="000B1F92" w:rsidRPr="001519D1">
        <w:rPr>
          <w:rFonts w:ascii="Arial" w:hAnsi="Arial" w:cs="Arial"/>
          <w:noProof/>
          <w:lang w:val="en-US"/>
        </w:rPr>
        <w:t>[23,26,32]</w:t>
      </w:r>
      <w:r w:rsidR="000B1F92" w:rsidRPr="001519D1">
        <w:rPr>
          <w:rFonts w:ascii="Arial" w:hAnsi="Arial" w:cs="Arial"/>
          <w:lang w:val="en-US"/>
        </w:rPr>
        <w:fldChar w:fldCharType="end"/>
      </w:r>
      <w:r w:rsidR="000B1F92" w:rsidRPr="001519D1">
        <w:rPr>
          <w:rFonts w:ascii="Arial" w:hAnsi="Arial" w:cs="Arial"/>
          <w:lang w:val="en-US"/>
        </w:rPr>
        <w:t>.</w:t>
      </w:r>
      <w:r w:rsidRPr="001519D1">
        <w:rPr>
          <w:rFonts w:ascii="Arial" w:hAnsi="Arial" w:cs="Arial"/>
          <w:lang w:val="en-US"/>
        </w:rPr>
        <w:t xml:space="preserve"> Because of these properties, Mo bronzes have been considered to numerous applications, among them H</w:t>
      </w:r>
      <w:r w:rsidRPr="001519D1">
        <w:rPr>
          <w:rFonts w:ascii="Arial" w:hAnsi="Arial" w:cs="Arial"/>
          <w:vertAlign w:val="subscript"/>
          <w:lang w:val="en-US"/>
        </w:rPr>
        <w:t>2</w:t>
      </w:r>
      <w:r w:rsidRPr="001519D1">
        <w:rPr>
          <w:rFonts w:ascii="Arial" w:hAnsi="Arial" w:cs="Arial"/>
          <w:lang w:val="en-US"/>
        </w:rPr>
        <w:t xml:space="preserve"> membrane separation by proton conductivity, sensor or H</w:t>
      </w:r>
      <w:r w:rsidRPr="001519D1">
        <w:rPr>
          <w:rFonts w:ascii="Arial" w:hAnsi="Arial" w:cs="Arial"/>
          <w:vertAlign w:val="subscript"/>
          <w:lang w:val="en-US"/>
        </w:rPr>
        <w:t>2</w:t>
      </w:r>
      <w:r w:rsidRPr="001519D1">
        <w:rPr>
          <w:rFonts w:ascii="Arial" w:hAnsi="Arial" w:cs="Arial"/>
          <w:lang w:val="en-US"/>
        </w:rPr>
        <w:t xml:space="preserve"> storage device</w:t>
      </w:r>
      <w:r w:rsidR="00EC6D16" w:rsidRPr="001519D1">
        <w:rPr>
          <w:rFonts w:ascii="Arial" w:hAnsi="Arial" w:cs="Arial"/>
          <w:lang w:val="en-US"/>
        </w:rPr>
        <w:t>s</w:t>
      </w:r>
      <w:r w:rsidRPr="001519D1">
        <w:rPr>
          <w:rFonts w:ascii="Arial" w:hAnsi="Arial" w:cs="Arial"/>
          <w:lang w:val="en-US"/>
        </w:rPr>
        <w:t xml:space="preserve"> are found</w:t>
      </w:r>
      <w:r w:rsidR="000B1F92" w:rsidRPr="001519D1">
        <w:rPr>
          <w:rFonts w:ascii="Arial" w:hAnsi="Arial" w:cs="Arial"/>
          <w:lang w:val="en-US"/>
        </w:rPr>
        <w:t xml:space="preserve"> </w:t>
      </w:r>
      <w:r w:rsidR="00EC6D16" w:rsidRPr="001519D1">
        <w:rPr>
          <w:rFonts w:ascii="Arial" w:hAnsi="Arial" w:cs="Arial"/>
          <w:lang w:val="en-US"/>
        </w:rPr>
        <w:t xml:space="preserve">in the literature </w:t>
      </w:r>
      <w:r w:rsidR="000B1F92" w:rsidRPr="001519D1">
        <w:rPr>
          <w:rFonts w:ascii="Arial" w:hAnsi="Arial" w:cs="Arial"/>
          <w:lang w:val="en-US"/>
        </w:rPr>
        <w:fldChar w:fldCharType="begin" w:fldLock="1"/>
      </w:r>
      <w:r w:rsidR="000B1F92" w:rsidRPr="001519D1">
        <w:rPr>
          <w:rFonts w:ascii="Arial" w:hAnsi="Arial" w:cs="Arial"/>
          <w:lang w:val="en-US"/>
        </w:rPr>
        <w:instrText>ADDIN CSL_CITATION { "citationItems" : [ { "id" : "ITEM-1", "itemData" : { "DOI" : "10.1021/cm300255r", "ISBN" : "0897-4756", "ISSN" : "08974756", "abstract" : "The effect of Mo doping on the crystal structure and thermal, electrical, and electrochemical properties of the SrCo1\u2013xMoxO3\u2212\u03b4 (x = 0.05, 0.1) system has been studied. The introduction of Mo as a substitution for Co in SrCoO3\u2212\u03b4 leads to a change from a hexagonal to a tetragonal perovskite structure at room temperature. The electrical conductivity is largely enhanced by the introduction of Mo at intermediate temperature due to the stabilization of the 3D-perovskite structure. However, the increase in Mo content decreases the total conductivity probably due to partial disruption of the electronic pathway. The use of these materials as cathodes in a solid-oxide fuel cell (SOFC) and as anodes in a solid oxide electrolyzer (SOE) has been evaluated, showing low values of electrode polarization resistances in both configurations over the intermediate temperature range. Interestingly, better performance was obtained under anodic polarization conditions reaching overpotential values as low as 28 mV for a current d...", "author" : [ { "dropping-particle" : "", "family" : "Aguadero", "given" : "Ainara", "non-dropping-particle" : "", "parse-names" : false, "suffix" : "" }, { "dropping-particle" : "", "family" : "Perez-Coll", "given" : "Domingo", "non-dropping-particle" : "", "parse-names" : false, "suffix" : "" }, { "dropping-particle" : "", "family" : "Alonso", "given" : "Jose A.", "non-dropping-particle" : "", "parse-names" : false, "suffix" : "" }, { "dropping-particle" : "", "family" : "Skinner", "given" : "Stephen John", "non-dropping-particle" : "", "parse-names" : false, "suffix" : "" }, { "dropping-particle" : "", "family" : "Kilner", "given" : "John A.", "non-dropping-particle" : "", "parse-names" : false, "suffix" : "" } ], "container-title" : "Chemistry of Materials", "id" : "ITEM-1", "issue" : "14", "issued" : { "date-parts" : [ [ "2012" ] ] }, "page" : "2655-2663", "title" : "A new family of Mo-doped SrCoO3-delta perovskites for application in reversible solid state electrochemical cells", "type" : "article-journal", "volume" : "24" }, "uris" : [ "http://www.mendeley.com/documents/?uuid=12738343-99fc-481d-afb5-ff1f4f71aa35" ] }, { "id" : "ITEM-2", "itemData" : { "DOI" : "10.1021/cm301723a", "ISBN" : "0897-4756\\r1520-5002", "ISSN" : "08974756", "abstract" : "Molybdenum substituted lanthanum tungstate, La 28-y(W 1-xMo x) 4+yO 54+\u03b4 (x = 0-1, y = 0.923), was investigated seeking for an enhancement of the n-type electronic conductivity for its use as a mixed electron-proton conductor in hydrogen gas separation membrane applications. The materials were synthesized by the freeze-drying precursor method, and they were single phase after firing between 1300 and 1500 \u00b0C for x \u2265 0.8. The crystal structure changed from cubic (x \u2265 0.4) to rhombohedral (x \u2265 0.6) with increasing the molybdenum content. Transmission electron microscopy (TEM) investigations revealed an ordering of the oxygen vacancies with increasing Mo-content, giving rise to superstructure domains. The dependency of the conductivity with the oxygen and water partial pressure showed that these materials are good mixed electron-proton conductors under wet reducing conditions for x \u2265 0.4. The conductivity of the materials with x \u2265 0.6 was dominated by electrons, and they are expected to be less chemically stable due to the lower redox stability of Mo 6+. The total conductivities in humidified H 2 were 0.016 S/cm for x = 0.2 and 0.043 S/cm for x = 0.4 at 900 \u00b0C, and they were stable under these conditions for more than 60 h. The ambipolar proton-electron conductivity was estimated to be \u223c1.6 \u00d7 10 -3 S/cm for x = 0.4 at temperatures as low as 600 \u00b0C, which makes this family of materials very interesting and competitive candidates for applications such as hydrogen gas separation membranes at lower temperatures than state-of-the-art materials. \u00a9 2012 American Chemical Society.", "author" : [ { "dropping-particle" : "", "family" : "Amsif", "given" : "M.", "non-dropping-particle" : "", "parse-names" : false, "suffix" : "" }, { "dropping-particle" : "", "family" : "Magras\u00f3", "given" : "A.", "non-dropping-particle" : "", "parse-names" : false, "suffix" : "" }, { "dropping-particle" : "", "family" : "Marrero-L\u00f3pez", "given" : "D.", "non-dropping-particle" : "", "parse-names" : false, "suffix" : "" }, { "dropping-particle" : "", "family" : "Ruiz-Morales", "given" : "J.C.", "non-dropping-particle" : "", "parse-names" : false, "suffix" : "" }, { "dropping-particle" : "", "family" : "Canales-V\u00e1zquez", "given" : "J.", "non-dropping-particle" : "", "parse-names" : false, "suffix" : "" }, { "dropping-particle" : "", "family" : "N\u00fa\u00f1ez", "given" : "P.", "non-dropping-particle" : "", "parse-names" : false, "suffix" : "" } ], "container-title" : "Chemistry of Materials", "id" : "ITEM-2", "issue" : "20", "issued" : { "date-parts" : [ [ "2012" ] ] }, "page" : "3868-3877", "title" : "Mo-Substituted Lanthanum Tungstate La28-yW4+yO54+delta: A Competitive Mixed Electron-Proton Conductor for Gas Separation Membrane Applications", "type" : "article-journal", "volume" : "24" }, "uris" : [ "http://www.mendeley.com/documents/?uuid=4a338ba5-9750-4dca-947a-3acf1ddfb9ef" ] }, { "id" : "ITEM-3", "itemData" : { "author" : [ { "dropping-particle" : "", "family" : "Bollapragada", "given" : "Phani Kiran S.", "non-dropping-particle" : "", "parse-names" : false, "suffix" : "" } ], "id" : "ITEM-3", "issued" : { "date-parts" : [ [ "2003" ] ] }, "number-of-pages" : "118", "title" : "Chemical transformations using tungsten and molybdenum hydrogen bronzes", "type" : "thesis" }, "uris" : [ "http://www.mendeley.com/documents/?uuid=d3909a96-cc66-4f73-8c1e-57d06c838ca1" ] } ], "mendeley" : { "formattedCitation" : "[14,17,27]", "plainTextFormattedCitation" : "[14,17,27]", "previouslyFormattedCitation" : "[14,17,27]" }, "properties" : { "noteIndex" : 0 }, "schema" : "https://github.com/citation-style-language/schema/raw/master/csl-citation.json" }</w:instrText>
      </w:r>
      <w:r w:rsidR="000B1F92" w:rsidRPr="001519D1">
        <w:rPr>
          <w:rFonts w:ascii="Arial" w:hAnsi="Arial" w:cs="Arial"/>
          <w:lang w:val="en-US"/>
        </w:rPr>
        <w:fldChar w:fldCharType="separate"/>
      </w:r>
      <w:r w:rsidR="000B1F92" w:rsidRPr="001519D1">
        <w:rPr>
          <w:rFonts w:ascii="Arial" w:hAnsi="Arial" w:cs="Arial"/>
          <w:noProof/>
          <w:lang w:val="en-US"/>
        </w:rPr>
        <w:t>[14,17,27]</w:t>
      </w:r>
      <w:r w:rsidR="000B1F92" w:rsidRPr="001519D1">
        <w:rPr>
          <w:rFonts w:ascii="Arial" w:hAnsi="Arial" w:cs="Arial"/>
          <w:lang w:val="en-US"/>
        </w:rPr>
        <w:fldChar w:fldCharType="end"/>
      </w:r>
      <w:r w:rsidR="000B1F92" w:rsidRPr="001519D1">
        <w:rPr>
          <w:rFonts w:ascii="Arial" w:hAnsi="Arial" w:cs="Arial"/>
          <w:lang w:val="en-US"/>
        </w:rPr>
        <w:t>.</w:t>
      </w:r>
    </w:p>
    <w:p w14:paraId="76F3FECC" w14:textId="77777777" w:rsidR="00C25B62" w:rsidRPr="001519D1" w:rsidRDefault="00C25B62" w:rsidP="00C25B62">
      <w:pPr>
        <w:spacing w:after="0" w:line="360" w:lineRule="auto"/>
        <w:rPr>
          <w:rFonts w:ascii="Arial" w:hAnsi="Arial" w:cs="Arial"/>
          <w:lang w:val="en-US"/>
        </w:rPr>
      </w:pPr>
    </w:p>
    <w:p w14:paraId="0982BFD0" w14:textId="3D708C22" w:rsidR="00C25B62" w:rsidRPr="001519D1" w:rsidRDefault="00C25B62" w:rsidP="00C25B62">
      <w:pPr>
        <w:spacing w:after="0" w:line="360" w:lineRule="auto"/>
        <w:rPr>
          <w:rFonts w:ascii="Arial" w:hAnsi="Arial" w:cs="Arial"/>
          <w:lang w:val="en-US"/>
        </w:rPr>
      </w:pPr>
      <w:r w:rsidRPr="001519D1">
        <w:rPr>
          <w:rFonts w:ascii="Arial" w:hAnsi="Arial" w:cs="Arial"/>
          <w:lang w:val="en-US"/>
        </w:rPr>
        <w:t>Accordingly, different amounts of Mo oxide are added to Eu-doped ZrO</w:t>
      </w:r>
      <w:r w:rsidRPr="001519D1">
        <w:rPr>
          <w:rFonts w:ascii="Arial" w:hAnsi="Arial" w:cs="Arial"/>
          <w:vertAlign w:val="subscript"/>
          <w:lang w:val="en-US"/>
        </w:rPr>
        <w:t>2</w:t>
      </w:r>
      <w:r w:rsidRPr="001519D1">
        <w:rPr>
          <w:rFonts w:ascii="Arial" w:hAnsi="Arial" w:cs="Arial"/>
          <w:lang w:val="en-US"/>
        </w:rPr>
        <w:t xml:space="preserve"> proton conductor already studied in the WGS reaction (Eu-doped ZrO</w:t>
      </w:r>
      <w:r w:rsidRPr="001519D1">
        <w:rPr>
          <w:rFonts w:ascii="Arial" w:hAnsi="Arial" w:cs="Arial"/>
          <w:vertAlign w:val="subscript"/>
          <w:lang w:val="en-US"/>
        </w:rPr>
        <w:t>2</w:t>
      </w:r>
      <w:r w:rsidRPr="001519D1">
        <w:rPr>
          <w:rFonts w:ascii="Arial" w:hAnsi="Arial" w:cs="Arial"/>
          <w:lang w:val="en-US"/>
        </w:rPr>
        <w:t xml:space="preserve"> with 5 mol.% of Eu</w:t>
      </w:r>
      <w:r w:rsidRPr="001519D1">
        <w:rPr>
          <w:rFonts w:ascii="Arial" w:hAnsi="Arial" w:cs="Arial"/>
          <w:vertAlign w:val="subscript"/>
          <w:lang w:val="en-US"/>
        </w:rPr>
        <w:t>2</w:t>
      </w:r>
      <w:r w:rsidRPr="001519D1">
        <w:rPr>
          <w:rFonts w:ascii="Arial" w:hAnsi="Arial" w:cs="Arial"/>
          <w:lang w:val="en-US"/>
        </w:rPr>
        <w:t>O</w:t>
      </w:r>
      <w:r w:rsidRPr="001519D1">
        <w:rPr>
          <w:rFonts w:ascii="Arial" w:hAnsi="Arial" w:cs="Arial"/>
          <w:vertAlign w:val="subscript"/>
          <w:lang w:val="en-US"/>
        </w:rPr>
        <w:t>3</w:t>
      </w:r>
      <w:r w:rsidRPr="001519D1">
        <w:rPr>
          <w:rFonts w:ascii="Arial" w:hAnsi="Arial" w:cs="Arial"/>
          <w:lang w:val="en-US"/>
        </w:rPr>
        <w:t>)</w:t>
      </w:r>
      <w:r w:rsidR="000B1F92" w:rsidRPr="001519D1">
        <w:rPr>
          <w:rFonts w:ascii="Arial" w:hAnsi="Arial" w:cs="Arial"/>
          <w:lang w:val="en-US"/>
        </w:rPr>
        <w:t xml:space="preserve"> </w:t>
      </w:r>
      <w:r w:rsidR="000B1F92" w:rsidRPr="001519D1">
        <w:rPr>
          <w:rFonts w:ascii="Arial" w:hAnsi="Arial" w:cs="Arial"/>
          <w:lang w:val="en-US"/>
        </w:rPr>
        <w:fldChar w:fldCharType="begin" w:fldLock="1"/>
      </w:r>
      <w:r w:rsidR="000B1F92" w:rsidRPr="001519D1">
        <w:rPr>
          <w:rFonts w:ascii="Arial" w:hAnsi="Arial" w:cs="Arial"/>
          <w:lang w:val="en-US"/>
        </w:rPr>
        <w:instrText>ADDIN CSL_CITATION { "citationItems" : [ { "id" : "ITEM-1", "itemData" : { "DOI" : "10.1016/j.apcatb.2018.03.001", "ISSN" : "09263373", "abstract" : "Eu-doped ZrO2solid solutions have been synthesized in order to prepare proton conductors as water-enhancer additives for the WGS reaction. Elemental characterization has been carried out revealing homogeneous dopant distribution resulting in fluorite-type solid solutions for Eu2O3contents up to \u223c9 mol.%. Representative samples of the Eu-doped ZrO2series have been analysed by Impedance Spectroscopy (IS) in inert, oxygen and wet conditions. The solid solution with 5 mol.% of Eu2O3has presented the highest conductivity values for all tested conditions indicating an optimal amount of dopant. Moreover, the presence of vapour pressure results in an increment of the conductivity at temperatures lower than 300 \u00b0C, meanwhile at higher temperatures the conductivity is the same than that in inert conditions. To elucidate these results, in situ DRIFTS studies were carried out. These experiments evidenced the existence of water dissociation at oxygen vacancies (band at 3724 cm\u22121) as well as the presence of physisorbed water at temperatures up to \u223c300 \u00b0C where the band at 5248 cm\u22121characteristic of these species disappeared. These results points to a layer model where the physisorbed water interacts with surface hydroxyls generated by dissociated water that improves the proton conductivity through Grotthuss\u2019 mechanism in the RT-300 \u00b0C temperature range. These samples were successfully tested in WGS reaction as additive to a typical Pt-based catalyst. The presence of the mixed oxide reveals an increase of the catalyst\u2019 activity assisted by the proton conductor, since improves the water activation step.", "author" : [ { "dropping-particle" : "", "family" : "Garc\u00eda-Moncada", "given" : "Nuria", "non-dropping-particle" : "", "parse-names" : false, "suffix" : "" }, { "dropping-particle" : "", "family" : "Bobadilla", "given" : "Luis F.", "non-dropping-particle" : "", "parse-names" : false, "suffix" : "" }, { "dropping-particle" : "", "family" : "Poyato", "given" : "Rosal\u00eda", "non-dropping-particle" : "", "parse-names" : false, "suffix" : "" }, { "dropping-particle" : "", "family" : "L\u00f3pez-Cartes", "given" : "Carlos", "non-dropping-particle" : "", "parse-names" : false, "suffix" : "" }, { "dropping-particle" : "", "family" : "Romero-Sarria", "given" : "Francisca", "non-dropping-particle" : "", "parse-names" : false, "suffix" : "" }, { "dropping-particle" : "", "family" : "Centeno", "given" : "Miguel \u00c1ngel", "non-dropping-particle" : "", "parse-names" : false, "suffix" : "" }, { "dropping-particle" : "", "family" : "Odriozola", "given" : "Jos\u00e9 Antonio", "non-dropping-particle" : "", "parse-names" : false, "suffix" : "" } ], "container-title" : "Applied Catalysis B: Environmental", "id" : "ITEM-1", "issued" : { "date-parts" : [ [ "2018" ] ] }, "page" : "343-356", "publisher" : "Elsevier", "title" : "A direct in situ observation of water-enhanced proton conductivity of Eu-doped ZrO2: Effect on WGS reaction", "type" : "article-journal", "volume" : "231" }, "uris" : [ "http://www.mendeley.com/documents/?uuid=2791e843-8b51-456b-9c4d-1590f34730e1" ] } ], "mendeley" : { "formattedCitation" : "[6]", "plainTextFormattedCitation" : "[6]", "previouslyFormattedCitation" : "[6]" }, "properties" : { "noteIndex" : 0 }, "schema" : "https://github.com/citation-style-language/schema/raw/master/csl-citation.json" }</w:instrText>
      </w:r>
      <w:r w:rsidR="000B1F92" w:rsidRPr="001519D1">
        <w:rPr>
          <w:rFonts w:ascii="Arial" w:hAnsi="Arial" w:cs="Arial"/>
          <w:lang w:val="en-US"/>
        </w:rPr>
        <w:fldChar w:fldCharType="separate"/>
      </w:r>
      <w:r w:rsidR="000B1F92" w:rsidRPr="001519D1">
        <w:rPr>
          <w:rFonts w:ascii="Arial" w:hAnsi="Arial" w:cs="Arial"/>
          <w:noProof/>
          <w:lang w:val="en-US"/>
        </w:rPr>
        <w:t>[6]</w:t>
      </w:r>
      <w:r w:rsidR="000B1F92" w:rsidRPr="001519D1">
        <w:rPr>
          <w:rFonts w:ascii="Arial" w:hAnsi="Arial" w:cs="Arial"/>
          <w:lang w:val="en-US"/>
        </w:rPr>
        <w:fldChar w:fldCharType="end"/>
      </w:r>
      <w:r w:rsidR="000B1F92" w:rsidRPr="001519D1">
        <w:rPr>
          <w:rFonts w:ascii="Arial" w:hAnsi="Arial" w:cs="Arial"/>
          <w:lang w:val="en-US"/>
        </w:rPr>
        <w:t>.</w:t>
      </w:r>
      <w:r w:rsidRPr="001519D1">
        <w:rPr>
          <w:rFonts w:ascii="Arial" w:hAnsi="Arial" w:cs="Arial"/>
          <w:lang w:val="en-US"/>
        </w:rPr>
        <w:t xml:space="preserve"> Thus, a typical Pt-based catalyst is physically mixed with the Mo-doped proton conductors in order to provide higher activity in WGS reaction by extra proton conductivity and/or adsorbed water at operation conditions.</w:t>
      </w:r>
    </w:p>
    <w:p w14:paraId="78055105" w14:textId="77777777" w:rsidR="00C25B62" w:rsidRPr="001519D1" w:rsidRDefault="00C25B62" w:rsidP="00C25B62">
      <w:pPr>
        <w:spacing w:after="0" w:line="360" w:lineRule="auto"/>
        <w:rPr>
          <w:rFonts w:ascii="Arial" w:hAnsi="Arial" w:cs="Arial"/>
          <w:lang w:val="en-US"/>
        </w:rPr>
      </w:pPr>
    </w:p>
    <w:p w14:paraId="7F023170" w14:textId="50CCA2E8" w:rsidR="00C25B62" w:rsidRPr="001519D1" w:rsidRDefault="00EC6D16" w:rsidP="00C25B62">
      <w:pPr>
        <w:spacing w:after="0" w:line="360" w:lineRule="auto"/>
        <w:rPr>
          <w:rFonts w:ascii="Arial" w:hAnsi="Arial" w:cs="Arial"/>
          <w:lang w:val="en-US"/>
        </w:rPr>
      </w:pPr>
      <w:r w:rsidRPr="001519D1">
        <w:rPr>
          <w:rFonts w:ascii="Arial" w:hAnsi="Arial" w:cs="Arial"/>
          <w:lang w:val="en-US"/>
        </w:rPr>
        <w:t>Besides</w:t>
      </w:r>
      <w:r w:rsidR="00C25B62" w:rsidRPr="001519D1">
        <w:rPr>
          <w:rFonts w:ascii="Arial" w:hAnsi="Arial" w:cs="Arial"/>
          <w:lang w:val="en-US"/>
        </w:rPr>
        <w:t xml:space="preserve"> catalyst design</w:t>
      </w:r>
      <w:r w:rsidRPr="001519D1">
        <w:rPr>
          <w:rFonts w:ascii="Arial" w:hAnsi="Arial" w:cs="Arial"/>
          <w:lang w:val="en-US"/>
        </w:rPr>
        <w:t xml:space="preserve"> by structuring the catalyst </w:t>
      </w:r>
      <w:r w:rsidR="003D7A66" w:rsidRPr="001519D1">
        <w:rPr>
          <w:rFonts w:ascii="Arial" w:hAnsi="Arial" w:cs="Arial"/>
          <w:lang w:val="en-US"/>
        </w:rPr>
        <w:t xml:space="preserve">may result in enhanced performances by </w:t>
      </w:r>
      <w:r w:rsidRPr="001519D1">
        <w:rPr>
          <w:rFonts w:ascii="Arial" w:hAnsi="Arial" w:cs="Arial"/>
          <w:lang w:val="en-US"/>
        </w:rPr>
        <w:t>impro</w:t>
      </w:r>
      <w:r w:rsidR="003D7A66" w:rsidRPr="001519D1">
        <w:rPr>
          <w:rFonts w:ascii="Arial" w:hAnsi="Arial" w:cs="Arial"/>
          <w:lang w:val="en-US"/>
        </w:rPr>
        <w:t>ving</w:t>
      </w:r>
      <w:r w:rsidRPr="001519D1">
        <w:rPr>
          <w:rFonts w:ascii="Arial" w:hAnsi="Arial" w:cs="Arial"/>
          <w:lang w:val="en-US"/>
        </w:rPr>
        <w:t xml:space="preserve"> heat and mass transport characteristics </w:t>
      </w:r>
      <w:r w:rsidR="00583CC3" w:rsidRPr="001519D1">
        <w:rPr>
          <w:rFonts w:ascii="Arial" w:hAnsi="Arial" w:cs="Arial"/>
          <w:lang w:val="en-US"/>
        </w:rPr>
        <w:fldChar w:fldCharType="begin" w:fldLock="1"/>
      </w:r>
      <w:r w:rsidR="006E2317" w:rsidRPr="001519D1">
        <w:rPr>
          <w:rFonts w:ascii="Arial" w:hAnsi="Arial" w:cs="Arial"/>
          <w:lang w:val="en-US"/>
        </w:rPr>
        <w:instrText>ADDIN CSL_CITATION { "citationItems" : [ { "id" : "ITEM-1", "itemData" : { "DOI" : "10.3390/catal7020062", "ISSN" : "2073-4344", "abstract" : "Considerable research has been conducted on monolithic catalysts for various applications. Strategies toward coating monoliths are of equal interest and importance. In this paper, the preparation of monoliths and monolithic catalysts have been summarized. More specifically, a brief explanation for the manufacturing of ceramic and metallic monoliths has been provided. Also, different methods for coating -alumina, as a secondary support, are included. Techniques used to deposit metal-based species, zeolites and carbon onto monoliths are discussed. Furthermore, monoliths extruded with metal oxides, zeolites and carbon are described. The main foci are on the reasoning and understanding behind the preparation of monolithic catalysts. Ideas and concerns are also contributed to encourage better approaches when designing these catalysts. More importantly, the relevance of monolithic structures to reactions, such as the selective oxidation of alkanes, catalytic combustion for power generation and the preferential oxidation of carbon monoxide, has been described.", "author" : [ { "dropping-particle" : "", "family" : "Govender", "given" : "Sandeeran", "non-dropping-particle" : "", "parse-names" : false, "suffix" : "" }, { "dropping-particle" : "", "family" : "Friedrich", "given" : "Holger B.", "non-dropping-particle" : "", "parse-names" : false, "suffix" : "" } ], "container-title" : "Catalysts", "id" : "ITEM-1", "issue" : "62", "issued" : { "date-parts" : [ [ "2017" ] ] }, "page" : "1-29", "title" : "Monoliths: A Review of the Basics, Preparation Methods and Their Relevance to Oxidation", "type" : "article-journal", "volume" : "7" }, "uris" : [ "http://www.mendeley.com/documents/?uuid=d0d34a3c-167c-46c5-b467-c275ade2a8c3" ] } ], "mendeley" : { "formattedCitation" : "[34]", "plainTextFormattedCitation" : "[34]", "previouslyFormattedCitation" : "[34]" }, "properties" : { "noteIndex" : 0 }, "schema" : "https://github.com/citation-style-language/schema/raw/master/csl-citation.json" }</w:instrText>
      </w:r>
      <w:r w:rsidR="00583CC3" w:rsidRPr="001519D1">
        <w:rPr>
          <w:rFonts w:ascii="Arial" w:hAnsi="Arial" w:cs="Arial"/>
          <w:lang w:val="en-US"/>
        </w:rPr>
        <w:fldChar w:fldCharType="separate"/>
      </w:r>
      <w:r w:rsidR="00583CC3" w:rsidRPr="001519D1">
        <w:rPr>
          <w:rFonts w:ascii="Arial" w:hAnsi="Arial" w:cs="Arial"/>
          <w:noProof/>
          <w:lang w:val="en-US"/>
        </w:rPr>
        <w:t>[34]</w:t>
      </w:r>
      <w:r w:rsidR="00583CC3" w:rsidRPr="001519D1">
        <w:rPr>
          <w:rFonts w:ascii="Arial" w:hAnsi="Arial" w:cs="Arial"/>
          <w:lang w:val="en-US"/>
        </w:rPr>
        <w:fldChar w:fldCharType="end"/>
      </w:r>
      <w:r w:rsidRPr="001519D1">
        <w:rPr>
          <w:rFonts w:ascii="Arial" w:hAnsi="Arial" w:cs="Arial"/>
          <w:lang w:val="en-US"/>
        </w:rPr>
        <w:t xml:space="preserve">. For instance, </w:t>
      </w:r>
      <w:r w:rsidR="003D7A66" w:rsidRPr="001519D1">
        <w:rPr>
          <w:rFonts w:ascii="Arial" w:hAnsi="Arial" w:cs="Arial"/>
          <w:lang w:val="en-US"/>
        </w:rPr>
        <w:t xml:space="preserve">the </w:t>
      </w:r>
      <w:r w:rsidRPr="001519D1">
        <w:rPr>
          <w:rFonts w:ascii="Arial" w:hAnsi="Arial" w:cs="Arial"/>
          <w:lang w:val="en-US"/>
        </w:rPr>
        <w:t xml:space="preserve">reactor </w:t>
      </w:r>
      <w:r w:rsidR="003D7A66" w:rsidRPr="001519D1">
        <w:rPr>
          <w:rFonts w:ascii="Arial" w:hAnsi="Arial" w:cs="Arial"/>
          <w:lang w:val="en-US"/>
        </w:rPr>
        <w:t>becomes almost isothermal</w:t>
      </w:r>
      <w:r w:rsidR="00227EE9" w:rsidRPr="001519D1">
        <w:rPr>
          <w:rFonts w:ascii="Arial" w:hAnsi="Arial" w:cs="Arial"/>
          <w:lang w:val="en-US"/>
        </w:rPr>
        <w:t>, which avoids high temperature excursion within the reactor resulting in a penalty for the catalytic activity since the reaction exothermicity.</w:t>
      </w:r>
      <w:r w:rsidR="00012D36" w:rsidRPr="001519D1">
        <w:rPr>
          <w:rFonts w:ascii="Arial" w:hAnsi="Arial" w:cs="Arial"/>
          <w:lang w:val="en-US"/>
        </w:rPr>
        <w:t xml:space="preserve"> This high heat transfer allowing better catalysts’ performances or the use of higher temperatures to promote the kinetics in WGS reaction has been reported and modelled by Palma </w:t>
      </w:r>
      <w:r w:rsidR="00012D36" w:rsidRPr="001519D1">
        <w:rPr>
          <w:rFonts w:ascii="Arial" w:hAnsi="Arial" w:cs="Arial"/>
          <w:i/>
          <w:lang w:val="en-US"/>
        </w:rPr>
        <w:t>et al.</w:t>
      </w:r>
      <w:r w:rsidR="00012D36" w:rsidRPr="001519D1">
        <w:rPr>
          <w:rFonts w:ascii="Arial" w:hAnsi="Arial" w:cs="Arial"/>
          <w:lang w:val="en-US"/>
        </w:rPr>
        <w:t xml:space="preserve"> </w:t>
      </w:r>
      <w:r w:rsidR="00C76F86"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"10.1016/j.ces.2017.12.035", "ISSN" : "00092509", "abstract" : "This work describes a CFD modeling study of the Water Gas Shift single stage process in adiabatic conditions, operated by COMSOL Multiphysics 5.0, by means of two different catalytic configurations; the real novelty was to show that the use of structured catalysts with high thermal conductivity could greatly improve the performances of the whole process. The simulations are then validated with kinetic data reported in a previous work, and provides a useful springboard for the design of a single stage process. It was demonstrated that the use of highly conductive carriers reduces the difference of temperature throughout the catalytic bed, under adiabatic conditions, by means of a backdiffusion of the heat of reaction from the output to the input of the bed. The redistribution allows to increase the inlet temperature, with a benefit for the kinetics, at the expence of the outlet temperature that, decreasing, promotes the thermodynamics. The use of a highly active catalytic formulation, at low temperatures, coupled with a conductive carrier, provides, in principle, the possibility to realize a strong intensification of the process.", "author" : [ { "dropping-particle" : "", "family" : "Palma", "given" : "V.", "non-dropping-particle" : "", "parse-names" : false, "suffix" : "" }, { "dropping-particle" : "", "family" : "Pisano", "given" : "D.", "non-dropping-particle" : "", "parse-names" : false, "suffix" : "" }, { "dropping-particle" : "", "family" : "Martino", "given" : "M.", "non-dropping-particle" : "", "parse-names" : false, "suffix" : "" } ], "container-title" : "Chemical Engineering Science", "id" : "ITEM-1", "issued" : { "date-parts" : [ [ "2018" ] ] }, "page" : "1-11", "publisher" : "Elsevier Ltd", "title" : "CFD modeling of the influence of carrier thermal conductivity for structured catalysts in the WGS reaction", "type" : "article-journal", "volume" : "178" }, "uris" : [ "http://www.mendeley.com/documents/?uuid=743f6d36-567b-4c61-80c3-5a3ab762aa83" ] }, { "id" : "ITEM-2", "itemData" : { "DOI" : "10.1016/j.ijhydene.2018.01.085", "ISSN" : "03603199", "abstract" : "Pt/Re-based catalysts differently supported (Al2O3, ZrO2, CeO2, CeZrO4) were prepared, characterized and tested for Water Gas Shift reaction, highlighting the excellent performance of the catalyst supported on the high reducible ceria-zirconia. With the intent to prepare a structured catalyst, based on the 1Pt/1Re/CeZrO4 formulation, a highly heat conductive aluminum foam was washcoated with a primer of alumina, the resulting carrier was firstly impregnated with a solution of the salts precursors of ceria and zirconia, subsequently with the salts precursors of platinum and rhenium. The performance of the resulting structured catalyst was evaluated, for the Water Gas Shift reaction, in different conditions; moreover the performance, in adiabatic condition, was compared with a powder catalyst with the same chemical composition of the structured catalyst, highlighting the effect of the carrier. The back diffusion of the heat of the reaction throughout the carrier, allowed to reduce the \u0394T on the catalytic bed and increase the CO conversion, with respect to the powder catalyst. The experimental results were validated with CFD simulations, by using the finite elements method software COMSOL Multiphysics\u00ae.", "author" : [ { "dropping-particle" : "", "family" : "Palma", "given" : "V.", "non-dropping-particle" : "", "parse-names" : false, "suffix" : "" }, { "dropping-particle" : "", "family" : "Pisano", "given" : "D.", "non-dropping-particle" : "", "parse-names" : false, "suffix" : "" }, { "dropping-particle" : "", "family" : "Martino", "given" : "M.", "non-dropping-particle" : "", "parse-names" : false, "suffix" : "" } ], "container-title" : "International Journal of Hydrogen Energy", "id" : "ITEM-2", "issue" : "26", "issued" : { "date-parts" : [ [ "2018" ] ] }, "page" : "11745-11754", "publisher" : "Elsevier Ltd", "title" : "Structured noble metal-based catalysts for the WGS process intensification", "type" : "article-journal", "volume" : "43" }, "uris" : [ "http://www.mendeley.com/documents/?uuid=76c2e27a-60b3-4860-a5e9-850e464f0bfc" ] } ], "mendeley" : { "formattedCitation" : "[35,36]", "plainTextFormattedCitation" : "[35,36]", "previouslyFormattedCitation" : "[35,36]" }, "properties" : { "noteIndex" : 0 }, "schema" : "https://github.com/citation-style-language/schema/raw/master/csl-citation.json" }</w:instrText>
      </w:r>
      <w:r w:rsidR="00C76F86" w:rsidRPr="001519D1">
        <w:rPr>
          <w:rFonts w:ascii="Arial" w:hAnsi="Arial" w:cs="Arial"/>
          <w:lang w:val="en-US"/>
        </w:rPr>
        <w:fldChar w:fldCharType="separate"/>
      </w:r>
      <w:r w:rsidR="00C76F86" w:rsidRPr="001519D1">
        <w:rPr>
          <w:rFonts w:ascii="Arial" w:hAnsi="Arial" w:cs="Arial"/>
          <w:noProof/>
          <w:lang w:val="en-US"/>
        </w:rPr>
        <w:t>[35,36]</w:t>
      </w:r>
      <w:r w:rsidR="00C76F86" w:rsidRPr="001519D1">
        <w:rPr>
          <w:rFonts w:ascii="Arial" w:hAnsi="Arial" w:cs="Arial"/>
          <w:lang w:val="en-US"/>
        </w:rPr>
        <w:fldChar w:fldCharType="end"/>
      </w:r>
      <w:r w:rsidR="00012D36" w:rsidRPr="001519D1">
        <w:rPr>
          <w:rFonts w:ascii="Arial" w:hAnsi="Arial" w:cs="Arial"/>
          <w:lang w:val="en-US"/>
        </w:rPr>
        <w:t xml:space="preserve">, where the CFD simulations were used to estimate the temperature profiles along the reactor and to validate the Pt-based catalyst performance supported on Al-foam or as powders. </w:t>
      </w:r>
      <w:r w:rsidR="00227EE9" w:rsidRPr="001519D1">
        <w:rPr>
          <w:rFonts w:ascii="Arial" w:hAnsi="Arial" w:cs="Arial"/>
          <w:lang w:val="en-US"/>
        </w:rPr>
        <w:t xml:space="preserve">In the present work, we aim to </w:t>
      </w:r>
      <w:r w:rsidR="00C25B62" w:rsidRPr="001519D1">
        <w:rPr>
          <w:rFonts w:ascii="Arial" w:hAnsi="Arial" w:cs="Arial"/>
          <w:lang w:val="en-US"/>
        </w:rPr>
        <w:t xml:space="preserve">elucidate if </w:t>
      </w:r>
      <w:r w:rsidR="00227EE9" w:rsidRPr="001519D1">
        <w:rPr>
          <w:rFonts w:ascii="Arial" w:hAnsi="Arial" w:cs="Arial"/>
          <w:lang w:val="en-US"/>
        </w:rPr>
        <w:t xml:space="preserve">the observed </w:t>
      </w:r>
      <w:r w:rsidR="00C25B62" w:rsidRPr="001519D1">
        <w:rPr>
          <w:rFonts w:ascii="Arial" w:hAnsi="Arial" w:cs="Arial"/>
          <w:lang w:val="en-US"/>
        </w:rPr>
        <w:t xml:space="preserve">improvement </w:t>
      </w:r>
      <w:r w:rsidR="00227EE9" w:rsidRPr="001519D1">
        <w:rPr>
          <w:rFonts w:ascii="Arial" w:hAnsi="Arial" w:cs="Arial"/>
          <w:lang w:val="en-US"/>
        </w:rPr>
        <w:t>in</w:t>
      </w:r>
      <w:r w:rsidR="00C25B62" w:rsidRPr="001519D1">
        <w:rPr>
          <w:rFonts w:ascii="Arial" w:hAnsi="Arial" w:cs="Arial"/>
          <w:lang w:val="en-US"/>
        </w:rPr>
        <w:t xml:space="preserve"> the </w:t>
      </w:r>
      <w:r w:rsidR="00227EE9" w:rsidRPr="001519D1">
        <w:rPr>
          <w:rFonts w:ascii="Arial" w:hAnsi="Arial" w:cs="Arial"/>
          <w:lang w:val="en-US"/>
        </w:rPr>
        <w:t xml:space="preserve">catalytic </w:t>
      </w:r>
      <w:r w:rsidR="00C25B62" w:rsidRPr="001519D1">
        <w:rPr>
          <w:rFonts w:ascii="Arial" w:hAnsi="Arial" w:cs="Arial"/>
          <w:lang w:val="en-US"/>
        </w:rPr>
        <w:t xml:space="preserve">activity achieved by </w:t>
      </w:r>
      <w:r w:rsidR="00227EE9" w:rsidRPr="001519D1">
        <w:rPr>
          <w:rFonts w:ascii="Arial" w:hAnsi="Arial" w:cs="Arial"/>
          <w:lang w:val="en-US"/>
        </w:rPr>
        <w:t xml:space="preserve">the physical mixture of </w:t>
      </w:r>
      <w:r w:rsidR="00C25B62" w:rsidRPr="001519D1">
        <w:rPr>
          <w:rFonts w:ascii="Arial" w:hAnsi="Arial" w:cs="Arial"/>
          <w:lang w:val="en-US"/>
        </w:rPr>
        <w:t xml:space="preserve">the proton conductor </w:t>
      </w:r>
      <w:r w:rsidR="00227EE9" w:rsidRPr="001519D1">
        <w:rPr>
          <w:rFonts w:ascii="Arial" w:hAnsi="Arial" w:cs="Arial"/>
          <w:lang w:val="en-US"/>
        </w:rPr>
        <w:t xml:space="preserve">with the Pt-based catalyst </w:t>
      </w:r>
      <w:r w:rsidR="00C25B62" w:rsidRPr="001519D1">
        <w:rPr>
          <w:rFonts w:ascii="Arial" w:hAnsi="Arial" w:cs="Arial"/>
          <w:lang w:val="en-US"/>
        </w:rPr>
        <w:t xml:space="preserve">in powder systems is due to a thermal or dilution effect by the addition of the ionic conductor as diluent or, indeed, is caused by the proton conducting effect in the reaction mechanism. </w:t>
      </w:r>
      <w:r w:rsidR="00227EE9" w:rsidRPr="001519D1">
        <w:rPr>
          <w:rFonts w:ascii="Arial" w:hAnsi="Arial" w:cs="Arial"/>
          <w:lang w:val="en-US"/>
        </w:rPr>
        <w:t xml:space="preserve">On choosing a thin </w:t>
      </w:r>
      <w:r w:rsidR="00C25B62" w:rsidRPr="001519D1">
        <w:rPr>
          <w:rFonts w:ascii="Arial" w:hAnsi="Arial" w:cs="Arial"/>
          <w:lang w:val="en-US"/>
        </w:rPr>
        <w:t xml:space="preserve">metallic </w:t>
      </w:r>
      <w:r w:rsidR="00227EE9" w:rsidRPr="001519D1">
        <w:rPr>
          <w:rFonts w:ascii="Arial" w:hAnsi="Arial" w:cs="Arial"/>
          <w:lang w:val="en-US"/>
        </w:rPr>
        <w:t>foils for structuring the catalyst almost</w:t>
      </w:r>
      <w:r w:rsidR="00C25B62" w:rsidRPr="001519D1">
        <w:rPr>
          <w:rFonts w:ascii="Arial" w:hAnsi="Arial" w:cs="Arial"/>
          <w:lang w:val="en-US"/>
        </w:rPr>
        <w:t xml:space="preserve"> isothermal conditions along the micromonolith </w:t>
      </w:r>
      <w:r w:rsidR="00227EE9" w:rsidRPr="001519D1">
        <w:rPr>
          <w:rFonts w:ascii="Arial" w:hAnsi="Arial" w:cs="Arial"/>
          <w:lang w:val="en-US"/>
        </w:rPr>
        <w:t xml:space="preserve">are obtained </w:t>
      </w:r>
      <w:r w:rsidR="00C25B62" w:rsidRPr="001519D1">
        <w:rPr>
          <w:rFonts w:ascii="Arial" w:hAnsi="Arial" w:cs="Arial"/>
          <w:lang w:val="en-US"/>
        </w:rPr>
        <w:t>avoiding hot-spots</w:t>
      </w:r>
      <w:r w:rsidR="0098123F" w:rsidRPr="001519D1">
        <w:rPr>
          <w:rFonts w:ascii="Arial" w:hAnsi="Arial" w:cs="Arial"/>
          <w:lang w:val="en-US"/>
        </w:rPr>
        <w:t xml:space="preserve"> </w:t>
      </w:r>
      <w:r w:rsidR="006E2317"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"10.3390/catal8120594", "ISSN" : "2073-4344", "abstract" : "A kinetic study of the water gas shift (WGS) reaction has been carried out on a Pt-based catalyst promoted by a Zr-based proton conductor. The investigation was first performed on powders with diluted feed mixtures and then extended to more severe and representative conditions by using a catalyst coated metallic micromonolith. Temperature measurements reveal that isothermal conditions were obtained along the micromonolith during the tested conditions. In addition, the very thin catalytic layer allows for the discarding of intraporous resistances, providing excellent conditions to analyse the kinetics of the WGS reaction under the integral regime. The proposed rate expression accounts for independence on CO concentration, an inhibiting effect of H2 and a promoting effect of H2O; kinetic orders on CO and H2 are in line with those reported in the literature for the Pt-based catalyst. Instead, the obtained reaction order of water (0.36) is significantly lower than that reported for unpromoted catalysts (typically 0.77\u20131.10) in good agreement with the proposed water-enhancer effect of the proton conductor on the rate-limiting step. Metallic micromonoliths turn out to be a powerful tool for the kinetic investigation, due to the absence of mass and heat transport limitations and represent a strategy for the intensification of the WGS unit for future applications of fuel processors in small mobile devices.", "author" : [ { "dropping-particle" : "", "family" : "Garc\u00eda-Moncada", "given" : "Nuria", "non-dropping-particle" : "", "parse-names" : false, "suffix" : "" }, { "dropping-particle" : "", "family" : "Groppi", "given" : "Gianpiero", "non-dropping-particle" : "", "parse-names" : false, "suffix" : "" }, { "dropping-particle" : "", "family" : "Beretta", "given" : "Alessandra", "non-dropping-particle" : "", "parse-names" : false, "suffix" : "" }, { "dropping-particle" : "", "family" : "Romero-Sarria", "given" : "Francisca", "non-dropping-particle" : "", "parse-names" : false, "suffix" : "" }, { "dropping-particle" : "", "family" : "Odriozola", "given" : "Jos\u00e9 Antonio", "non-dropping-particle" : "", "parse-names" : false, "suffix" : "" } ], "container-title" : "Catalysts", "id" : "ITEM-1", "issue" : "12", "issued" : { "date-parts" : [ [ "2018" ] ] }, "page" : "594", "title" : "Metal Micro-Monoliths for the Kinetic Study and the Intensification of the Water Gas Shift Reaction", "type" : "article-journal", "volume" : "8" }, "uris" : [ "http://www.mendeley.com/documents/?uuid=d2e1607a-550c-4877-8ff6-f571774e36f9" ] } ], "mendeley" : { "formattedCitation" : "[37]", "plainTextFormattedCitation" : "[37]", "previouslyFormattedCitation" : "[37]" }, "properties" : { "noteIndex" : 0 }, "schema" : "https://github.com/citation-style-language/schema/raw/master/csl-citation.json" }</w:instrText>
      </w:r>
      <w:r w:rsidR="006E2317" w:rsidRPr="001519D1">
        <w:rPr>
          <w:rFonts w:ascii="Arial" w:hAnsi="Arial" w:cs="Arial"/>
          <w:lang w:val="en-US"/>
        </w:rPr>
        <w:fldChar w:fldCharType="separate"/>
      </w:r>
      <w:r w:rsidR="00C76F86" w:rsidRPr="001519D1">
        <w:rPr>
          <w:rFonts w:ascii="Arial" w:hAnsi="Arial" w:cs="Arial"/>
          <w:noProof/>
          <w:lang w:val="en-US"/>
        </w:rPr>
        <w:t>[37]</w:t>
      </w:r>
      <w:r w:rsidR="006E2317" w:rsidRPr="001519D1">
        <w:rPr>
          <w:rFonts w:ascii="Arial" w:hAnsi="Arial" w:cs="Arial"/>
          <w:lang w:val="en-US"/>
        </w:rPr>
        <w:fldChar w:fldCharType="end"/>
      </w:r>
      <w:r w:rsidR="00C25B62" w:rsidRPr="001519D1">
        <w:rPr>
          <w:rFonts w:ascii="Arial" w:hAnsi="Arial" w:cs="Arial"/>
          <w:lang w:val="en-US"/>
        </w:rPr>
        <w:t xml:space="preserve">; </w:t>
      </w:r>
      <w:r w:rsidR="00227EE9" w:rsidRPr="001519D1">
        <w:rPr>
          <w:rFonts w:ascii="Arial" w:hAnsi="Arial" w:cs="Arial"/>
          <w:lang w:val="en-US"/>
        </w:rPr>
        <w:t xml:space="preserve">moreover, this approach favors the </w:t>
      </w:r>
      <w:r w:rsidR="00C25B62" w:rsidRPr="001519D1">
        <w:rPr>
          <w:rFonts w:ascii="Arial" w:hAnsi="Arial" w:cs="Arial"/>
          <w:lang w:val="en-US"/>
        </w:rPr>
        <w:t xml:space="preserve">cell </w:t>
      </w:r>
      <w:r w:rsidR="00227EE9" w:rsidRPr="001519D1">
        <w:rPr>
          <w:rFonts w:ascii="Arial" w:hAnsi="Arial" w:cs="Arial"/>
          <w:lang w:val="en-US"/>
        </w:rPr>
        <w:t xml:space="preserve">density </w:t>
      </w:r>
      <w:r w:rsidR="00C25B62" w:rsidRPr="001519D1">
        <w:rPr>
          <w:rFonts w:ascii="Arial" w:hAnsi="Arial" w:cs="Arial"/>
          <w:lang w:val="en-US"/>
        </w:rPr>
        <w:t xml:space="preserve">per surface </w:t>
      </w:r>
      <w:r w:rsidR="00227EE9" w:rsidRPr="001519D1">
        <w:rPr>
          <w:rFonts w:ascii="Arial" w:hAnsi="Arial" w:cs="Arial"/>
          <w:lang w:val="en-US"/>
        </w:rPr>
        <w:t xml:space="preserve">unit </w:t>
      </w:r>
      <w:r w:rsidR="00C25B62" w:rsidRPr="001519D1">
        <w:rPr>
          <w:rFonts w:ascii="Arial" w:hAnsi="Arial" w:cs="Arial"/>
          <w:lang w:val="en-US"/>
        </w:rPr>
        <w:t xml:space="preserve">(cpsi) </w:t>
      </w:r>
      <w:r w:rsidR="00227EE9" w:rsidRPr="001519D1">
        <w:rPr>
          <w:rFonts w:ascii="Arial" w:hAnsi="Arial" w:cs="Arial"/>
          <w:lang w:val="en-US"/>
        </w:rPr>
        <w:t xml:space="preserve">resulting in an increase in the surface-to-volume ratio and this catalytic layers </w:t>
      </w:r>
      <w:r w:rsidR="00C26A27" w:rsidRPr="001519D1">
        <w:rPr>
          <w:rFonts w:ascii="Arial" w:hAnsi="Arial" w:cs="Arial"/>
          <w:lang w:val="en-US"/>
        </w:rPr>
        <w:t xml:space="preserve">that may prevent mass transport limitations </w:t>
      </w:r>
      <w:r w:rsidR="000B1F92" w:rsidRPr="001519D1">
        <w:rPr>
          <w:rFonts w:ascii="Arial" w:hAnsi="Arial" w:cs="Arial"/>
          <w:lang w:val="en-US"/>
        </w:rPr>
        <w:fldChar w:fldCharType="begin" w:fldLock="1"/>
      </w:r>
      <w:r w:rsidR="000B1F92" w:rsidRPr="001519D1">
        <w:rPr>
          <w:rFonts w:ascii="Arial" w:hAnsi="Arial" w:cs="Arial"/>
          <w:lang w:val="en-US"/>
        </w:rPr>
        <w:instrText>ADDIN CSL_CITATION { "citationItems" : [ { "id" : "ITEM-1", "itemData" : { "DOI" : "10.3390/catal7020062", "ISSN" : "2073-4344", "abstract" : "Considerable research has been conducted on monolithic catalysts for various applications. Strategies toward coating monoliths are of equal interest and importance. In this paper, the preparation of monoliths and monolithic catalysts have been summarized. More specifically, a brief explanation for the manufacturing of ceramic and metallic monoliths has been provided. Also, different methods for coating -alumina, as a secondary support, are included. Techniques used to deposit metal-based species, zeolites and carbon onto monoliths are discussed. Furthermore, monoliths extruded with metal oxides, zeolites and carbon are described. The main foci are on the reasoning and understanding behind the preparation of monolithic catalysts. Ideas and concerns are also contributed to encourage better approaches when designing these catalysts. More importantly, the relevance of monolithic structures to reactions, such as the selective oxidation of alkanes, catalytic combustion for power generation and the preferential oxidation of carbon monoxide, has been described.", "author" : [ { "dropping-particle" : "", "family" : "Govender", "given" : "Sandeeran", "non-dropping-particle" : "", "parse-names" : false, "suffix" : "" }, { "dropping-particle" : "", "family" : "Friedrich", "given" : "Holger B.", "non-dropping-particle" : "", "parse-names" : false, "suffix" : "" } ], "container-title" : "Catalysts", "id" : "ITEM-1", "issue" : "62", "issued" : { "date-parts" : [ [ "2017" ] ] }, "page" : "1-29", "title" : "Monoliths: A Review of the Basics, Preparation Methods and Their Relevance to Oxidation", "type" : "article-journal", "volume" : "7" }, "uris" : [ "http://www.mendeley.com/documents/?uuid=d0d34a3c-167c-46c5-b467-c275ade2a8c3" ] } ], "mendeley" : { "formattedCitation" : "[34]", "plainTextFormattedCitation" : "[34]", "previouslyFormattedCitation" : "[34]" }, "properties" : { "noteIndex" : 0 }, "schema" : "https://github.com/citation-style-language/schema/raw/master/csl-citation.json" }</w:instrText>
      </w:r>
      <w:r w:rsidR="000B1F92" w:rsidRPr="001519D1">
        <w:rPr>
          <w:rFonts w:ascii="Arial" w:hAnsi="Arial" w:cs="Arial"/>
          <w:lang w:val="en-US"/>
        </w:rPr>
        <w:fldChar w:fldCharType="separate"/>
      </w:r>
      <w:r w:rsidR="000B1F92" w:rsidRPr="001519D1">
        <w:rPr>
          <w:rFonts w:ascii="Arial" w:hAnsi="Arial" w:cs="Arial"/>
          <w:noProof/>
          <w:lang w:val="en-US"/>
        </w:rPr>
        <w:t>[34]</w:t>
      </w:r>
      <w:r w:rsidR="000B1F92" w:rsidRPr="001519D1">
        <w:rPr>
          <w:rFonts w:ascii="Arial" w:hAnsi="Arial" w:cs="Arial"/>
          <w:lang w:val="en-US"/>
        </w:rPr>
        <w:fldChar w:fldCharType="end"/>
      </w:r>
      <w:r w:rsidR="000B1F92" w:rsidRPr="001519D1">
        <w:rPr>
          <w:rFonts w:ascii="Arial" w:hAnsi="Arial" w:cs="Arial"/>
          <w:lang w:val="en-US"/>
        </w:rPr>
        <w:t>.</w:t>
      </w:r>
    </w:p>
    <w:p w14:paraId="122F8303" w14:textId="77777777" w:rsidR="00C25B62" w:rsidRPr="001519D1" w:rsidRDefault="00C25B62" w:rsidP="00C25B62">
      <w:pPr>
        <w:spacing w:after="0" w:line="360" w:lineRule="auto"/>
        <w:rPr>
          <w:rFonts w:ascii="Arial" w:hAnsi="Arial" w:cs="Arial"/>
          <w:lang w:val="en-US"/>
        </w:rPr>
      </w:pPr>
    </w:p>
    <w:p w14:paraId="43C1BE2A" w14:textId="77777777" w:rsidR="00C25B62" w:rsidRPr="001519D1" w:rsidRDefault="00C25B62" w:rsidP="00C25B62">
      <w:pPr>
        <w:spacing w:after="0" w:line="360" w:lineRule="auto"/>
        <w:rPr>
          <w:rFonts w:ascii="Arial" w:hAnsi="Arial" w:cs="Arial"/>
          <w:b/>
          <w:bCs/>
          <w:lang w:val="en-US"/>
        </w:rPr>
      </w:pPr>
      <w:r w:rsidRPr="001519D1">
        <w:rPr>
          <w:rFonts w:ascii="Arial" w:hAnsi="Arial" w:cs="Arial"/>
          <w:b/>
          <w:bCs/>
          <w:lang w:val="en-US"/>
        </w:rPr>
        <w:t>2. Experimental procedure</w:t>
      </w:r>
    </w:p>
    <w:p w14:paraId="7AA9344F" w14:textId="77777777" w:rsidR="00C25B62" w:rsidRPr="001519D1" w:rsidRDefault="00C25B62" w:rsidP="00C25B62">
      <w:pPr>
        <w:spacing w:after="0" w:line="360" w:lineRule="auto"/>
        <w:rPr>
          <w:rFonts w:ascii="Arial" w:hAnsi="Arial" w:cs="Arial"/>
          <w:b/>
          <w:bCs/>
          <w:lang w:val="en-US"/>
        </w:rPr>
      </w:pPr>
      <w:r w:rsidRPr="001519D1">
        <w:rPr>
          <w:rFonts w:ascii="Arial" w:hAnsi="Arial" w:cs="Arial"/>
          <w:b/>
          <w:bCs/>
          <w:lang w:val="en-US"/>
        </w:rPr>
        <w:t>2.1 Synthesis of materials.</w:t>
      </w:r>
    </w:p>
    <w:p w14:paraId="4848BFD9" w14:textId="73C12D65" w:rsidR="00C25B62" w:rsidRPr="001519D1" w:rsidRDefault="00C25B62" w:rsidP="00C25B62">
      <w:pPr>
        <w:spacing w:after="0" w:line="360" w:lineRule="auto"/>
        <w:rPr>
          <w:rFonts w:ascii="Arial" w:hAnsi="Arial" w:cs="Arial"/>
          <w:lang w:val="en-US"/>
        </w:rPr>
      </w:pPr>
      <w:r w:rsidRPr="001519D1">
        <w:rPr>
          <w:rFonts w:ascii="Arial" w:hAnsi="Arial" w:cs="Arial"/>
          <w:lang w:val="en-US"/>
        </w:rPr>
        <w:t>The ionic conductor materials, Mo- and Eu-doped ZrO</w:t>
      </w:r>
      <w:r w:rsidRPr="001519D1">
        <w:rPr>
          <w:rFonts w:ascii="Arial" w:hAnsi="Arial" w:cs="Arial"/>
          <w:vertAlign w:val="subscript"/>
          <w:lang w:val="en-US"/>
        </w:rPr>
        <w:t>2</w:t>
      </w:r>
      <w:r w:rsidRPr="001519D1">
        <w:rPr>
          <w:rFonts w:ascii="Arial" w:hAnsi="Arial" w:cs="Arial"/>
          <w:lang w:val="en-US"/>
        </w:rPr>
        <w:t xml:space="preserve"> compounds, were prepared by co-precipitation. A 0.1M aqueous solution of ammonium molybdate tetrahydrate ((NH</w:t>
      </w:r>
      <w:r w:rsidRPr="001519D1">
        <w:rPr>
          <w:rFonts w:ascii="Arial" w:hAnsi="Arial" w:cs="Arial"/>
          <w:vertAlign w:val="subscript"/>
          <w:lang w:val="en-US"/>
        </w:rPr>
        <w:t>4</w:t>
      </w:r>
      <w:r w:rsidRPr="001519D1">
        <w:rPr>
          <w:rFonts w:ascii="Arial" w:hAnsi="Arial" w:cs="Arial"/>
          <w:lang w:val="en-US"/>
        </w:rPr>
        <w:t>)</w:t>
      </w:r>
      <w:r w:rsidRPr="001519D1">
        <w:rPr>
          <w:rFonts w:ascii="Arial" w:hAnsi="Arial" w:cs="Arial"/>
          <w:vertAlign w:val="subscript"/>
          <w:lang w:val="en-US"/>
        </w:rPr>
        <w:t>6</w:t>
      </w:r>
      <w:r w:rsidRPr="001519D1">
        <w:rPr>
          <w:rFonts w:ascii="Arial" w:hAnsi="Arial" w:cs="Arial"/>
          <w:lang w:val="en-US"/>
        </w:rPr>
        <w:t>Mo</w:t>
      </w:r>
      <w:r w:rsidRPr="001519D1">
        <w:rPr>
          <w:rFonts w:ascii="Arial" w:hAnsi="Arial" w:cs="Arial"/>
          <w:vertAlign w:val="subscript"/>
          <w:lang w:val="en-US"/>
        </w:rPr>
        <w:t>7</w:t>
      </w:r>
      <w:r w:rsidRPr="001519D1">
        <w:rPr>
          <w:rFonts w:ascii="Arial" w:hAnsi="Arial" w:cs="Arial"/>
          <w:lang w:val="en-US"/>
        </w:rPr>
        <w:t>O</w:t>
      </w:r>
      <w:r w:rsidRPr="001519D1">
        <w:rPr>
          <w:rFonts w:ascii="Arial" w:hAnsi="Arial" w:cs="Arial"/>
          <w:vertAlign w:val="subscript"/>
          <w:lang w:val="en-US"/>
        </w:rPr>
        <w:t>24</w:t>
      </w:r>
      <w:r w:rsidRPr="001519D1">
        <w:rPr>
          <w:rFonts w:ascii="Arial" w:hAnsi="Arial" w:cs="Arial"/>
          <w:lang w:val="en-US"/>
        </w:rPr>
        <w:t xml:space="preserve">, Alfa Aesar) </w:t>
      </w:r>
      <w:r w:rsidR="00C57DF3" w:rsidRPr="001519D1">
        <w:rPr>
          <w:rFonts w:ascii="Arial" w:hAnsi="Arial" w:cs="Arial"/>
          <w:lang w:val="en-US"/>
        </w:rPr>
        <w:t>was</w:t>
      </w:r>
      <w:r w:rsidRPr="001519D1">
        <w:rPr>
          <w:rFonts w:ascii="Arial" w:hAnsi="Arial" w:cs="Arial"/>
          <w:lang w:val="en-US"/>
        </w:rPr>
        <w:t xml:space="preserve"> slowly added to an aqueous solution resulting of mixing 0.1M of zirconium (IV) oxynitrate hydrate (Sigma-Aldrich) and 0.1M of europium (III) nitrate pentahydrate (Sigma-Aldrich) solutions under continuous stirring in adequate amounts for obtaining the desired compositions</w:t>
      </w:r>
      <w:r w:rsidR="00C57DF3" w:rsidRPr="001519D1">
        <w:rPr>
          <w:rFonts w:ascii="Arial" w:hAnsi="Arial" w:cs="Arial"/>
          <w:lang w:val="en-US"/>
        </w:rPr>
        <w:t>; then</w:t>
      </w:r>
      <w:r w:rsidRPr="001519D1">
        <w:rPr>
          <w:rFonts w:ascii="Arial" w:hAnsi="Arial" w:cs="Arial"/>
          <w:lang w:val="en-US"/>
        </w:rPr>
        <w:t xml:space="preserve"> the </w:t>
      </w:r>
      <w:r w:rsidR="00C57DF3" w:rsidRPr="001519D1">
        <w:rPr>
          <w:rFonts w:ascii="Arial" w:hAnsi="Arial" w:cs="Arial"/>
          <w:lang w:val="en-US"/>
        </w:rPr>
        <w:t xml:space="preserve">pH of the resulting </w:t>
      </w:r>
      <w:r w:rsidRPr="001519D1">
        <w:rPr>
          <w:rFonts w:ascii="Arial" w:hAnsi="Arial" w:cs="Arial"/>
          <w:lang w:val="en-US"/>
        </w:rPr>
        <w:t>solution</w:t>
      </w:r>
      <w:r w:rsidR="00C57DF3" w:rsidRPr="001519D1">
        <w:rPr>
          <w:rFonts w:ascii="Arial" w:hAnsi="Arial" w:cs="Arial"/>
          <w:lang w:val="en-US"/>
        </w:rPr>
        <w:t xml:space="preserve"> ranging</w:t>
      </w:r>
      <w:r w:rsidRPr="001519D1">
        <w:rPr>
          <w:rFonts w:ascii="Arial" w:hAnsi="Arial" w:cs="Arial"/>
          <w:lang w:val="en-US"/>
        </w:rPr>
        <w:t xml:space="preserve">  between 1 and 2</w:t>
      </w:r>
      <w:r w:rsidR="00C57DF3" w:rsidRPr="001519D1">
        <w:rPr>
          <w:rFonts w:ascii="Arial" w:hAnsi="Arial" w:cs="Arial"/>
          <w:lang w:val="en-US"/>
        </w:rPr>
        <w:t xml:space="preserve"> was </w:t>
      </w:r>
      <w:r w:rsidR="00C57DF3" w:rsidRPr="001519D1">
        <w:rPr>
          <w:rFonts w:ascii="Arial" w:hAnsi="Arial" w:cs="Arial"/>
          <w:lang w:val="en-US"/>
        </w:rPr>
        <w:lastRenderedPageBreak/>
        <w:t xml:space="preserve">raised to </w:t>
      </w:r>
      <w:r w:rsidRPr="001519D1">
        <w:rPr>
          <w:rFonts w:ascii="Arial" w:hAnsi="Arial" w:cs="Arial"/>
          <w:lang w:val="en-US"/>
        </w:rPr>
        <w:t xml:space="preserve">8 by adding a commercial ammonia solution (30 vol.%, Panreac). </w:t>
      </w:r>
      <w:r w:rsidR="00C57DF3" w:rsidRPr="001519D1">
        <w:rPr>
          <w:rFonts w:ascii="Arial" w:hAnsi="Arial" w:cs="Arial"/>
          <w:lang w:val="en-US"/>
        </w:rPr>
        <w:t>This</w:t>
      </w:r>
      <w:r w:rsidRPr="001519D1">
        <w:rPr>
          <w:rFonts w:ascii="Arial" w:hAnsi="Arial" w:cs="Arial"/>
          <w:lang w:val="en-US"/>
        </w:rPr>
        <w:t xml:space="preserve"> solution was aged for 1.5 hours at room temperature under stirring. This procedure results in a white precipitate that was </w:t>
      </w:r>
      <w:r w:rsidR="00C57DF3" w:rsidRPr="001519D1">
        <w:rPr>
          <w:rFonts w:ascii="Arial" w:hAnsi="Arial" w:cs="Arial"/>
          <w:lang w:val="en-US"/>
        </w:rPr>
        <w:t xml:space="preserve">further </w:t>
      </w:r>
      <w:r w:rsidRPr="001519D1">
        <w:rPr>
          <w:rFonts w:ascii="Arial" w:hAnsi="Arial" w:cs="Arial"/>
          <w:lang w:val="en-US"/>
        </w:rPr>
        <w:t xml:space="preserve">filtered, washed with distilled water and subsequently dried at 100 ºC overnight. Finally, the solid was calcined in air at 500 ºC for 5 h to remove the nitrate precursors and a </w:t>
      </w:r>
      <w:r w:rsidR="00C57DF3" w:rsidRPr="001519D1">
        <w:rPr>
          <w:rFonts w:ascii="Arial" w:hAnsi="Arial" w:cs="Arial"/>
          <w:lang w:val="en-US"/>
        </w:rPr>
        <w:t>pale-yellow</w:t>
      </w:r>
      <w:r w:rsidRPr="001519D1">
        <w:rPr>
          <w:rFonts w:ascii="Arial" w:hAnsi="Arial" w:cs="Arial"/>
          <w:lang w:val="en-US"/>
        </w:rPr>
        <w:t xml:space="preserve"> solid was obtained. The synthesized solids were named ZrEuMo_x (where the ZrO</w:t>
      </w:r>
      <w:r w:rsidRPr="001519D1">
        <w:rPr>
          <w:rFonts w:ascii="Arial" w:hAnsi="Arial" w:cs="Arial"/>
          <w:vertAlign w:val="subscript"/>
          <w:lang w:val="en-US"/>
        </w:rPr>
        <w:t>2</w:t>
      </w:r>
      <w:r w:rsidRPr="001519D1">
        <w:rPr>
          <w:rFonts w:ascii="Arial" w:hAnsi="Arial" w:cs="Arial"/>
          <w:lang w:val="en-US"/>
        </w:rPr>
        <w:t>:Eu</w:t>
      </w:r>
      <w:r w:rsidRPr="001519D1">
        <w:rPr>
          <w:rFonts w:ascii="Arial" w:hAnsi="Arial" w:cs="Arial"/>
          <w:vertAlign w:val="subscript"/>
          <w:lang w:val="en-US"/>
        </w:rPr>
        <w:t>2</w:t>
      </w:r>
      <w:r w:rsidRPr="001519D1">
        <w:rPr>
          <w:rFonts w:ascii="Arial" w:hAnsi="Arial" w:cs="Arial"/>
          <w:lang w:val="en-US"/>
        </w:rPr>
        <w:t>O</w:t>
      </w:r>
      <w:r w:rsidRPr="001519D1">
        <w:rPr>
          <w:rFonts w:ascii="Arial" w:hAnsi="Arial" w:cs="Arial"/>
          <w:vertAlign w:val="subscript"/>
          <w:lang w:val="en-US"/>
        </w:rPr>
        <w:t>3</w:t>
      </w:r>
      <w:r w:rsidRPr="001519D1">
        <w:rPr>
          <w:rFonts w:ascii="Arial" w:hAnsi="Arial" w:cs="Arial"/>
          <w:lang w:val="en-US"/>
        </w:rPr>
        <w:t xml:space="preserve"> molar ratio was fixed at 95:5 and the variable amount of MoO</w:t>
      </w:r>
      <w:r w:rsidRPr="001519D1">
        <w:rPr>
          <w:rFonts w:ascii="Arial" w:hAnsi="Arial" w:cs="Arial"/>
          <w:vertAlign w:val="subscript"/>
          <w:lang w:val="en-US"/>
        </w:rPr>
        <w:t>3</w:t>
      </w:r>
      <w:r w:rsidRPr="001519D1">
        <w:rPr>
          <w:rFonts w:ascii="Arial" w:hAnsi="Arial" w:cs="Arial"/>
          <w:lang w:val="en-US"/>
        </w:rPr>
        <w:t xml:space="preserve"> is indicated by x = 5, 7 and 10 mol.%).</w:t>
      </w:r>
    </w:p>
    <w:p w14:paraId="29F4B922" w14:textId="77777777" w:rsidR="00C25B62" w:rsidRPr="001519D1" w:rsidRDefault="00C25B62" w:rsidP="00C25B62">
      <w:pPr>
        <w:spacing w:after="0" w:line="360" w:lineRule="auto"/>
        <w:rPr>
          <w:rFonts w:ascii="Arial" w:hAnsi="Arial" w:cs="Arial"/>
          <w:lang w:val="en-US"/>
        </w:rPr>
      </w:pPr>
    </w:p>
    <w:p w14:paraId="2C6F03E7" w14:textId="77777777" w:rsidR="00C25B62" w:rsidRPr="001519D1" w:rsidRDefault="00C25B62" w:rsidP="00C25B62">
      <w:pPr>
        <w:spacing w:after="0" w:line="360" w:lineRule="auto"/>
        <w:rPr>
          <w:rFonts w:ascii="Arial" w:hAnsi="Arial" w:cs="Arial"/>
          <w:lang w:val="en-US"/>
        </w:rPr>
      </w:pPr>
      <w:r w:rsidRPr="001519D1">
        <w:rPr>
          <w:rFonts w:ascii="Arial" w:hAnsi="Arial" w:cs="Arial"/>
          <w:lang w:val="en-US"/>
        </w:rPr>
        <w:t>The catalyst Pt/CeO</w:t>
      </w:r>
      <w:r w:rsidRPr="001519D1">
        <w:rPr>
          <w:rFonts w:ascii="Arial" w:hAnsi="Arial" w:cs="Arial"/>
          <w:vertAlign w:val="subscript"/>
          <w:lang w:val="en-US"/>
        </w:rPr>
        <w:t>2</w:t>
      </w:r>
      <w:r w:rsidRPr="001519D1">
        <w:rPr>
          <w:rFonts w:ascii="Arial" w:hAnsi="Arial" w:cs="Arial"/>
          <w:lang w:val="en-US"/>
        </w:rPr>
        <w:t>/Al</w:t>
      </w:r>
      <w:r w:rsidRPr="001519D1">
        <w:rPr>
          <w:rFonts w:ascii="Arial" w:hAnsi="Arial" w:cs="Arial"/>
          <w:vertAlign w:val="subscript"/>
          <w:lang w:val="en-US"/>
        </w:rPr>
        <w:t>2</w:t>
      </w:r>
      <w:r w:rsidRPr="001519D1">
        <w:rPr>
          <w:rFonts w:ascii="Arial" w:hAnsi="Arial" w:cs="Arial"/>
          <w:lang w:val="en-US"/>
        </w:rPr>
        <w:t>O</w:t>
      </w:r>
      <w:r w:rsidRPr="001519D1">
        <w:rPr>
          <w:rFonts w:ascii="Arial" w:hAnsi="Arial" w:cs="Arial"/>
          <w:vertAlign w:val="subscript"/>
          <w:lang w:val="en-US"/>
        </w:rPr>
        <w:t>3</w:t>
      </w:r>
      <w:r w:rsidRPr="001519D1">
        <w:rPr>
          <w:rFonts w:ascii="Arial" w:hAnsi="Arial" w:cs="Arial"/>
          <w:lang w:val="en-US"/>
        </w:rPr>
        <w:t xml:space="preserve"> (named PtCeAl) was prepared by wet impregnation. The platinum was loaded over commercial Puralox CeO</w:t>
      </w:r>
      <w:r w:rsidRPr="001519D1">
        <w:rPr>
          <w:rFonts w:ascii="Arial" w:hAnsi="Arial" w:cs="Arial"/>
          <w:vertAlign w:val="subscript"/>
          <w:lang w:val="en-US"/>
        </w:rPr>
        <w:t>2</w:t>
      </w:r>
      <w:r w:rsidRPr="001519D1">
        <w:rPr>
          <w:rFonts w:ascii="Arial" w:hAnsi="Arial" w:cs="Arial"/>
          <w:lang w:val="en-US"/>
        </w:rPr>
        <w:t>/Al</w:t>
      </w:r>
      <w:r w:rsidRPr="001519D1">
        <w:rPr>
          <w:rFonts w:ascii="Arial" w:hAnsi="Arial" w:cs="Arial"/>
          <w:vertAlign w:val="subscript"/>
          <w:lang w:val="en-US"/>
        </w:rPr>
        <w:t>2</w:t>
      </w:r>
      <w:r w:rsidRPr="001519D1">
        <w:rPr>
          <w:rFonts w:ascii="Arial" w:hAnsi="Arial" w:cs="Arial"/>
          <w:lang w:val="en-US"/>
        </w:rPr>
        <w:t>O</w:t>
      </w:r>
      <w:r w:rsidRPr="001519D1">
        <w:rPr>
          <w:rFonts w:ascii="Arial" w:hAnsi="Arial" w:cs="Arial"/>
          <w:vertAlign w:val="subscript"/>
          <w:lang w:val="en-US"/>
        </w:rPr>
        <w:t>3</w:t>
      </w:r>
      <w:r w:rsidRPr="001519D1">
        <w:rPr>
          <w:rFonts w:ascii="Arial" w:hAnsi="Arial" w:cs="Arial"/>
          <w:lang w:val="en-US"/>
        </w:rPr>
        <w:t xml:space="preserve"> (20:80 ceria/alumina mass ratio). A convenient amount of the Pt precursor (tetraammine platinum (II) nitrate solution, Johnson Matthey) was previously mixed with acetic acid solution 1M in a Pt:Acid molar ratio of 1:1,1. Then, the Pt solution was added over the commercial support and shaken at room temperature. Thereafter, the solvent was evaporated at reduced pressure in a rotary evaporator and the obtained solid was dried at 100 ºC for 12 h. Finally, the dry solid was calcined at 350 ºC for 8 h with a heating rate of 5 ºC/min.</w:t>
      </w:r>
    </w:p>
    <w:p w14:paraId="39F57163" w14:textId="77777777" w:rsidR="00C25B62" w:rsidRPr="001519D1" w:rsidRDefault="00C25B62" w:rsidP="00C25B62">
      <w:pPr>
        <w:spacing w:after="0" w:line="360" w:lineRule="auto"/>
        <w:rPr>
          <w:rFonts w:ascii="Arial" w:hAnsi="Arial" w:cs="Arial"/>
          <w:lang w:val="en-US"/>
        </w:rPr>
      </w:pPr>
    </w:p>
    <w:p w14:paraId="180BACD9" w14:textId="77777777" w:rsidR="00C25B62" w:rsidRPr="001519D1" w:rsidRDefault="00C25B62" w:rsidP="00C25B62">
      <w:pPr>
        <w:spacing w:after="0" w:line="360" w:lineRule="auto"/>
        <w:rPr>
          <w:rFonts w:ascii="Arial" w:hAnsi="Arial" w:cs="Arial"/>
          <w:b/>
          <w:bCs/>
          <w:lang w:val="en-US"/>
        </w:rPr>
      </w:pPr>
      <w:r w:rsidRPr="001519D1">
        <w:rPr>
          <w:rFonts w:ascii="Arial" w:hAnsi="Arial" w:cs="Arial"/>
          <w:b/>
          <w:bCs/>
          <w:lang w:val="en-US"/>
        </w:rPr>
        <w:t>2.2 Slurry and micromonoliths preparation.</w:t>
      </w:r>
    </w:p>
    <w:p w14:paraId="12F2B80F" w14:textId="6A0E0A77" w:rsidR="00C25B62" w:rsidRPr="001519D1" w:rsidRDefault="00C25B62" w:rsidP="00C25B62">
      <w:pPr>
        <w:spacing w:after="0" w:line="360" w:lineRule="auto"/>
        <w:rPr>
          <w:rFonts w:ascii="Arial" w:hAnsi="Arial" w:cs="Arial"/>
          <w:lang w:val="en-US"/>
        </w:rPr>
      </w:pPr>
      <w:r w:rsidRPr="001519D1">
        <w:rPr>
          <w:rFonts w:ascii="Arial" w:hAnsi="Arial" w:cs="Arial"/>
          <w:lang w:val="en-US"/>
        </w:rPr>
        <w:t xml:space="preserve">Metallic FeCrAlloy – Iron/Chromium foil (Fe72.8/Cr22/Al5/Y0.1/Zr0.1, GoodFellow) 0.05 mm thick was used for the manufacture of the micromonoliths. Flat </w:t>
      </w:r>
      <w:r w:rsidR="00C57DF3" w:rsidRPr="001519D1">
        <w:rPr>
          <w:rFonts w:ascii="Arial" w:hAnsi="Arial" w:cs="Arial"/>
          <w:lang w:val="en-US"/>
        </w:rPr>
        <w:t xml:space="preserve">and corrugated </w:t>
      </w:r>
      <w:r w:rsidRPr="001519D1">
        <w:rPr>
          <w:rFonts w:ascii="Arial" w:hAnsi="Arial" w:cs="Arial"/>
          <w:lang w:val="en-US"/>
        </w:rPr>
        <w:t xml:space="preserve">sheets were rolled </w:t>
      </w:r>
      <w:r w:rsidR="00C57DF3" w:rsidRPr="001519D1">
        <w:rPr>
          <w:rFonts w:ascii="Arial" w:hAnsi="Arial" w:cs="Arial"/>
          <w:lang w:val="en-US"/>
        </w:rPr>
        <w:t xml:space="preserve">together </w:t>
      </w:r>
      <w:r w:rsidRPr="001519D1">
        <w:rPr>
          <w:rFonts w:ascii="Arial" w:hAnsi="Arial" w:cs="Arial"/>
          <w:lang w:val="en-US"/>
        </w:rPr>
        <w:t>resulting in cylindrical metallic micromonoliths with 17 mm in diameter and 30 mm in height (Figure 1) with a cell density of 1588 cpsi and 540 cm</w:t>
      </w:r>
      <w:r w:rsidRPr="001519D1">
        <w:rPr>
          <w:rFonts w:ascii="Arial" w:hAnsi="Arial" w:cs="Arial"/>
          <w:vertAlign w:val="superscript"/>
          <w:lang w:val="en-US"/>
        </w:rPr>
        <w:t>2</w:t>
      </w:r>
      <w:r w:rsidRPr="001519D1">
        <w:rPr>
          <w:rFonts w:ascii="Arial" w:hAnsi="Arial" w:cs="Arial"/>
          <w:lang w:val="en-US"/>
        </w:rPr>
        <w:t xml:space="preserve"> of exposed surface. A detailed description of the manufacturing procedure and oxidation treatment prior to catalyst coating has been described elsewhere</w:t>
      </w:r>
      <w:r w:rsidR="000B1F92" w:rsidRPr="001519D1">
        <w:rPr>
          <w:rFonts w:ascii="Arial" w:hAnsi="Arial" w:cs="Arial"/>
          <w:lang w:val="en-US"/>
        </w:rPr>
        <w:t xml:space="preserve"> </w:t>
      </w:r>
      <w:r w:rsidR="000B1F92"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"10.1016/j.apcatb.2017.10.018", "ISSN" : "09263373", "abstract" : "A novel multilayer approach for designing structured WGS catalyst is employed in this study as a response to the lack of new strategies in the literature. The approach proposes the use of two successive layers with different functionalities on metallic micromonolith substrate. The WGS catalyst behavior is modulated by the nature of the inner layer which determines the active species surface population by acting on the water activation step. The catalytic promotion attained by introducing inner ceria containing solids with increasing number of oxygen defects is intensely analyzed through FT-IR and H2O-TPD. Several evidences about the participation of the oxygen vacancies, as key sites, for water absorption processes are established. Besides, remarkable relationships between the water absorption strengths and the water splitting processes within their influence on the catalyst performance are also discussed.", "author" : [ { "dropping-particle" : "", "family" : "Gonz\u00e1lez-Casta\u00f1o", "given" : "M.", "non-dropping-particle" : "", "parse-names" : false, "suffix" : "" }, { "dropping-particle" : "", "family" : "Sach\u00e9", "given" : "E.", "non-dropping-particle" : "Le", "parse-names" : false, "suffix" : "" }, { "dropping-particle" : "", "family" : "Ivanova", "given" : "S.", "non-dropping-particle" : "", "parse-names" : false, "suffix" : "" }, { "dropping-particle" : "", "family" : "Romero-Sarria", "given" : "F.", "non-dropping-particle" : "", "parse-names" : false, "suffix" : "" }, { "dropping-particle" : "", "family" : "Centeno", "given" : "M.A.", "non-dropping-particle" : "", "parse-names" : false, "suffix" : "" }, { "dropping-particle" : "", "family" : "Odriozola", "given" : "J.A.", "non-dropping-particle" : "", "parse-names" : false, "suffix" : "" } ], "container-title" : "Applied Catalysis B: Environmental", "id" : "ITEM-1", "issued" : { "date-parts" : [ [ "2018" ] ] }, "page" : "124-132", "publisher" : "Elsevier", "title" : "Tailoring structured WGS catalysts: Impact of multilayered concept on the water surface interactions", "type" : "article-journal", "volume" : "222" }, "uris" : [ "http://www.mendeley.com/documents/?uuid=32797654-9f11-45a1-8574-e24cd967722e" ] }, { "id" : "ITEM-2", "itemData" : { "DOI" : "10.1016/B978-0-444-63587-7.00004-4", "ISBN" : "9780444635877", "abstract" : "This chapter reviews the main advantages and drawbacks of metallic structured catalysts (monoliths and microreactors). Aspects related with the catalytic device manufacture such as the metal choice and the methods used to deposit the catalytic layer onto the metallic substrate are reviewed. Additionally, the mass and heat transport phenomena as well as the alteration of the catalytic coating because of the substrate-catalyst contact and reaction conditions are also visited, taking into consideration their catalytic implications. Finally, all the evaluated aspects are exemplified for the steam reforming of methane process, a hot topic case.", "author" : [ { "dropping-particle" : "", "family" : "Laguna", "given" : "O.H.", "non-dropping-particle" : "", "parse-names" : false, "suffix" : "" }, { "dropping-particle" : "", "family" : "Dom\u00ednguez", "given" : "M.I.", "non-dropping-particle" : "", "parse-names" : false, "suffix" : "" }, { "dropping-particle" : "", "family" : "Centeno", "given" : "M.A.", "non-dropping-particle" : "", "parse-names" : false, "suffix" : "" }, { "dropping-particle" : "", "family" : "Odriozola", "given" : "J.A.", "non-dropping-particle" : "", "parse-names" : false, "suffix" : "" } ], "chapter-number" : "4", "container-title" : "New Materials for Catalytic Applications", "editor" : [ { "dropping-particle" : "", "family" : "Parvulescu", "given" : "V.I.", "non-dropping-particle" : "", "parse-names" : false, "suffix" : "" }, { "dropping-particle" : "", "family" : "Kemnitz", "given" : "E.", "non-dropping-particle" : "", "parse-names" : false, "suffix" : "" } ], "id" : "ITEM-2", "issued" : { "date-parts" : [ [ "2016" ] ] }, "page" : "81-120", "publisher" : "Elsevier B.V.", "title" : "Catalysts on Metallic Surfaces: Monoliths and Microreactors", "type" : "chapter" }, "uris" : [ "http://www.mendeley.com/documents/?uuid=ab015af6-1e8e-473a-b652-822f2a974b19" ] } ], "mendeley" : { "formattedCitation" : "[38,39]", "plainTextFormattedCitation" : "[38,39]", "previouslyFormattedCitation" : "[38,39]" }, "properties" : { "noteIndex" : 0 }, "schema" : "https://github.com/citation-style-language/schema/raw/master/csl-citation.json" }</w:instrText>
      </w:r>
      <w:r w:rsidR="000B1F92" w:rsidRPr="001519D1">
        <w:rPr>
          <w:rFonts w:ascii="Arial" w:hAnsi="Arial" w:cs="Arial"/>
          <w:lang w:val="en-US"/>
        </w:rPr>
        <w:fldChar w:fldCharType="separate"/>
      </w:r>
      <w:r w:rsidR="00C76F86" w:rsidRPr="001519D1">
        <w:rPr>
          <w:rFonts w:ascii="Arial" w:hAnsi="Arial" w:cs="Arial"/>
          <w:noProof/>
          <w:lang w:val="en-US"/>
        </w:rPr>
        <w:t>[38,39]</w:t>
      </w:r>
      <w:r w:rsidR="000B1F92" w:rsidRPr="001519D1">
        <w:rPr>
          <w:rFonts w:ascii="Arial" w:hAnsi="Arial" w:cs="Arial"/>
          <w:lang w:val="en-US"/>
        </w:rPr>
        <w:fldChar w:fldCharType="end"/>
      </w:r>
      <w:r w:rsidR="000B1F92" w:rsidRPr="001519D1">
        <w:rPr>
          <w:rFonts w:ascii="Arial" w:hAnsi="Arial" w:cs="Arial"/>
          <w:lang w:val="en-US"/>
        </w:rPr>
        <w:t>.</w:t>
      </w:r>
    </w:p>
    <w:p w14:paraId="232772CC" w14:textId="77777777" w:rsidR="000658F8" w:rsidRPr="001519D1" w:rsidRDefault="000658F8" w:rsidP="000658F8">
      <w:pPr>
        <w:keepNext/>
        <w:spacing w:after="0" w:line="360" w:lineRule="auto"/>
        <w:rPr>
          <w:lang w:val="en-US"/>
        </w:rPr>
      </w:pPr>
    </w:p>
    <w:p w14:paraId="4D18FDA1" w14:textId="23EF01DE" w:rsidR="000658F8" w:rsidRPr="001519D1" w:rsidRDefault="00C25B62" w:rsidP="000658F8">
      <w:pPr>
        <w:keepNext/>
        <w:spacing w:after="0" w:line="360" w:lineRule="auto"/>
      </w:pPr>
      <w:r w:rsidRPr="001519D1">
        <w:rPr>
          <w:noProof/>
          <w:lang w:val="es-ES" w:eastAsia="es-ES"/>
        </w:rPr>
        <w:drawing>
          <wp:inline distT="0" distB="0" distL="0" distR="0" wp14:anchorId="03A08B70" wp14:editId="4111EBF4">
            <wp:extent cx="1428794"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1462" cy="916108"/>
                    </a:xfrm>
                    <a:prstGeom prst="rect">
                      <a:avLst/>
                    </a:prstGeom>
                    <a:noFill/>
                  </pic:spPr>
                </pic:pic>
              </a:graphicData>
            </a:graphic>
          </wp:inline>
        </w:drawing>
      </w:r>
    </w:p>
    <w:p w14:paraId="048BC5E9" w14:textId="1858DEC7" w:rsidR="00C25B62" w:rsidRPr="001519D1" w:rsidRDefault="000658F8" w:rsidP="000658F8">
      <w:pPr>
        <w:pStyle w:val="Descripcin"/>
        <w:rPr>
          <w:rFonts w:ascii="Arial" w:hAnsi="Arial" w:cs="Arial"/>
          <w:i w:val="0"/>
          <w:iCs w:val="0"/>
          <w:sz w:val="22"/>
          <w:szCs w:val="22"/>
          <w:lang w:val="en-US"/>
        </w:rPr>
      </w:pPr>
      <w:r w:rsidRPr="001519D1">
        <w:rPr>
          <w:rFonts w:ascii="Arial" w:hAnsi="Arial" w:cs="Arial"/>
          <w:i w:val="0"/>
          <w:iCs w:val="0"/>
          <w:color w:val="auto"/>
          <w:sz w:val="22"/>
          <w:szCs w:val="22"/>
          <w:lang w:val="en-US"/>
        </w:rPr>
        <w:t xml:space="preserve">Figure </w:t>
      </w:r>
      <w:r w:rsidRPr="001519D1">
        <w:rPr>
          <w:rFonts w:ascii="Arial" w:hAnsi="Arial" w:cs="Arial"/>
          <w:i w:val="0"/>
          <w:iCs w:val="0"/>
          <w:color w:val="auto"/>
          <w:sz w:val="22"/>
          <w:szCs w:val="22"/>
        </w:rPr>
        <w:fldChar w:fldCharType="begin"/>
      </w:r>
      <w:r w:rsidRPr="001519D1">
        <w:rPr>
          <w:rFonts w:ascii="Arial" w:hAnsi="Arial" w:cs="Arial"/>
          <w:i w:val="0"/>
          <w:iCs w:val="0"/>
          <w:color w:val="auto"/>
          <w:sz w:val="22"/>
          <w:szCs w:val="22"/>
          <w:lang w:val="en-US"/>
        </w:rPr>
        <w:instrText xml:space="preserve"> SEQ Figure \* ARABIC </w:instrText>
      </w:r>
      <w:r w:rsidRPr="001519D1">
        <w:rPr>
          <w:rFonts w:ascii="Arial" w:hAnsi="Arial" w:cs="Arial"/>
          <w:i w:val="0"/>
          <w:iCs w:val="0"/>
          <w:color w:val="auto"/>
          <w:sz w:val="22"/>
          <w:szCs w:val="22"/>
        </w:rPr>
        <w:fldChar w:fldCharType="separate"/>
      </w:r>
      <w:r w:rsidR="00AB59A7" w:rsidRPr="001519D1">
        <w:rPr>
          <w:rFonts w:ascii="Arial" w:hAnsi="Arial" w:cs="Arial"/>
          <w:i w:val="0"/>
          <w:iCs w:val="0"/>
          <w:noProof/>
          <w:color w:val="auto"/>
          <w:sz w:val="22"/>
          <w:szCs w:val="22"/>
          <w:lang w:val="en-US"/>
        </w:rPr>
        <w:t>1</w:t>
      </w:r>
      <w:r w:rsidRPr="001519D1">
        <w:rPr>
          <w:rFonts w:ascii="Arial" w:hAnsi="Arial" w:cs="Arial"/>
          <w:i w:val="0"/>
          <w:iCs w:val="0"/>
          <w:color w:val="auto"/>
          <w:sz w:val="22"/>
          <w:szCs w:val="22"/>
        </w:rPr>
        <w:fldChar w:fldCharType="end"/>
      </w:r>
      <w:r w:rsidRPr="001519D1">
        <w:rPr>
          <w:rFonts w:ascii="Arial" w:hAnsi="Arial" w:cs="Arial"/>
          <w:i w:val="0"/>
          <w:iCs w:val="0"/>
          <w:color w:val="auto"/>
          <w:sz w:val="22"/>
          <w:szCs w:val="22"/>
          <w:lang w:val="en-US"/>
        </w:rPr>
        <w:t>.</w:t>
      </w:r>
      <w:r w:rsidRPr="001519D1">
        <w:rPr>
          <w:rFonts w:ascii="Arial" w:hAnsi="Arial" w:cs="Arial"/>
          <w:i w:val="0"/>
          <w:iCs w:val="0"/>
          <w:noProof/>
          <w:color w:val="auto"/>
          <w:sz w:val="22"/>
          <w:szCs w:val="22"/>
          <w:lang w:val="en-US"/>
        </w:rPr>
        <w:t xml:space="preserve"> Manufactured metallic micromonolith.</w:t>
      </w:r>
    </w:p>
    <w:p w14:paraId="01342070" w14:textId="77777777" w:rsidR="004F0A78" w:rsidRPr="001519D1" w:rsidRDefault="004F0A78" w:rsidP="00C25B62">
      <w:pPr>
        <w:spacing w:after="0" w:line="360" w:lineRule="auto"/>
        <w:rPr>
          <w:rFonts w:ascii="Arial" w:hAnsi="Arial" w:cs="Arial"/>
          <w:lang w:val="en-US"/>
        </w:rPr>
      </w:pPr>
    </w:p>
    <w:p w14:paraId="47CD2348" w14:textId="304A5BB0" w:rsidR="00C25B62" w:rsidRPr="001519D1" w:rsidRDefault="008D6953" w:rsidP="00C25B62">
      <w:pPr>
        <w:spacing w:after="0" w:line="360" w:lineRule="auto"/>
        <w:rPr>
          <w:rFonts w:ascii="Arial" w:hAnsi="Arial" w:cs="Arial"/>
          <w:lang w:val="en-US"/>
        </w:rPr>
      </w:pPr>
      <w:r w:rsidRPr="001519D1">
        <w:rPr>
          <w:rFonts w:ascii="Arial" w:hAnsi="Arial" w:cs="Arial"/>
          <w:lang w:val="en-US"/>
        </w:rPr>
        <w:t xml:space="preserve">A </w:t>
      </w:r>
      <w:r w:rsidR="00C25B62" w:rsidRPr="001519D1">
        <w:rPr>
          <w:rFonts w:ascii="Arial" w:hAnsi="Arial" w:cs="Arial"/>
          <w:lang w:val="en-US"/>
        </w:rPr>
        <w:t xml:space="preserve">washcoating </w:t>
      </w:r>
      <w:r w:rsidRPr="001519D1">
        <w:rPr>
          <w:rFonts w:ascii="Arial" w:hAnsi="Arial" w:cs="Arial"/>
          <w:lang w:val="en-US"/>
        </w:rPr>
        <w:t xml:space="preserve">procedure </w:t>
      </w:r>
      <w:r w:rsidR="00C25B62" w:rsidRPr="001519D1">
        <w:rPr>
          <w:rFonts w:ascii="Arial" w:hAnsi="Arial" w:cs="Arial"/>
          <w:lang w:val="en-US"/>
        </w:rPr>
        <w:t xml:space="preserve">was used to deposit either the catalyst or the physical mixture of the catalyst and the ionic conductor on the metallic substrate. </w:t>
      </w:r>
      <w:r w:rsidRPr="001519D1">
        <w:rPr>
          <w:rFonts w:ascii="Arial" w:hAnsi="Arial" w:cs="Arial"/>
          <w:lang w:val="en-US"/>
        </w:rPr>
        <w:t xml:space="preserve">Details for this procedure have been given elsewhere </w:t>
      </w:r>
      <w:r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"10.1016/S0167-2991(10)75004-7", "ISBN" : "9780444536013", "ISSN" : "01672991", "abstract" : "The most important parameters controlling the washcoating of metallic structures from catalytic slurries are reviewed. The slurry must be stable with adequate rheological properties controlled by the solid content, particle size and additives. The metallic substrate must be pre-treated to obtain an adherent surface scale compatible with the coating and presenting appropriate surface roughness. The quality of the produced coating (homogeneity, specific load and adherence) depends essentially on slurry properties (viscosity and solid content) and on the technique used to remove slurry excess. \u00a9 2010 Elsevier B.V. All rights reserved.", "author" : [ { "dropping-particle" : "", "family" : "Almeida", "given" : "L.C.", "non-dropping-particle" : "", "parse-names" : false, "suffix" : "" }, { "dropping-particle" : "", "family" : "Echave", "given" : "F.J.", "non-dropping-particle" : "", "parse-names" : false, "suffix" : "" }, { "dropping-particle" : "", "family" : "Sanz", "given" : "O.", "non-dropping-particle" : "", "parse-names" : false, "suffix" : "" }, { "dropping-particle" : "", "family" : "Centeno", "given" : "M.A.", "non-dropping-particle" : "", "parse-names" : false, "suffix" : "" }, { "dropping-particle" : "", "family" : "Odriozola", "given" : "J.A.", "non-dropping-particle" : "", "parse-names" : false, "suffix" : "" }, { "dropping-particle" : "", "family" : "Montes", "given" : "M.", "non-dropping-particle" : "", "parse-names" : false, "suffix" : "" } ], "container-title" : "Studies in Surface Science and Catalysis", "editor" : [ { "dropping-particle" : "", "family" : "Gaigneaux", "given" : "E.M.", "non-dropping-particle" : "", "parse-names" : false, "suffix" : "" }, { "dropping-particle" : "", "family" : "Devillers", "given" : "M.", "non-dropping-particle" : "", "parse-names" : false, "suffix" : "" }, { "dropping-particle" : "", "family" : "Hermans", "given" : "S.", "non-dropping-particle" : "", "parse-names" : false, "suffix" : "" }, { "dropping-particle" : "", "family" : "Jacobs", "given" : "P.", "non-dropping-particle" : "", "parse-names" : false, "suffix" : "" }, { "dropping-particle" : "", "family" : "Martens", "given" : "J.", "non-dropping-particle" : "", "parse-names" : false, "suffix" : "" }, { "dropping-particle" : "", "family" : "Ruiz", "given" : "P.", "non-dropping-particle" : "", "parse-names" : false, "suffix" : "" } ], "id" : "ITEM-1", "issued" : { "date-parts" : [ [ "2010" ] ] }, "number-of-pages" : "25-33", "publisher" : "Elsevier B.V.", "title" : "Washcoating of metallic monoliths and microchannel reactors", "type" : "book", "volume" : "175" }, "uris" : [ "http://www.mendeley.com/documents/?uuid=6f999133-fbb9-4c23-95c8-d78417d524b4" ] } ], "mendeley" : { "formattedCitation" : "[40]", "plainTextFormattedCitation" : "[40]", "previouslyFormattedCitation" : "[40]" }, "properties" : { "noteIndex" : 0 }, "schema" : "https://github.com/citation-style-language/schema/raw/master/csl-citation.json" }</w:instrText>
      </w:r>
      <w:r w:rsidRPr="001519D1">
        <w:rPr>
          <w:rFonts w:ascii="Arial" w:hAnsi="Arial" w:cs="Arial"/>
          <w:lang w:val="en-US"/>
        </w:rPr>
        <w:fldChar w:fldCharType="separate"/>
      </w:r>
      <w:r w:rsidR="00C76F86" w:rsidRPr="001519D1">
        <w:rPr>
          <w:rFonts w:ascii="Arial" w:hAnsi="Arial" w:cs="Arial"/>
          <w:noProof/>
          <w:lang w:val="en-US"/>
        </w:rPr>
        <w:t>[40]</w:t>
      </w:r>
      <w:r w:rsidRPr="001519D1">
        <w:rPr>
          <w:rFonts w:ascii="Arial" w:hAnsi="Arial" w:cs="Arial"/>
          <w:lang w:val="en-US"/>
        </w:rPr>
        <w:fldChar w:fldCharType="end"/>
      </w:r>
      <w:r w:rsidRPr="001519D1">
        <w:rPr>
          <w:rFonts w:ascii="Arial" w:hAnsi="Arial" w:cs="Arial"/>
          <w:lang w:val="en-US"/>
        </w:rPr>
        <w:t>. In brief</w:t>
      </w:r>
      <w:r w:rsidR="00C25B62" w:rsidRPr="001519D1">
        <w:rPr>
          <w:rFonts w:ascii="Arial" w:hAnsi="Arial" w:cs="Arial"/>
          <w:lang w:val="en-US"/>
        </w:rPr>
        <w:t>, slurries with adjusted rheological properties were prepared optimizing both the viscosity and the Z potential of the suspension</w:t>
      </w:r>
      <w:r w:rsidR="000B1F92" w:rsidRPr="001519D1">
        <w:rPr>
          <w:rFonts w:ascii="Arial" w:hAnsi="Arial" w:cs="Arial"/>
          <w:lang w:val="en-US"/>
        </w:rPr>
        <w:t>.</w:t>
      </w:r>
      <w:r w:rsidR="00C25B62" w:rsidRPr="001519D1">
        <w:rPr>
          <w:rFonts w:ascii="Arial" w:hAnsi="Arial" w:cs="Arial"/>
          <w:lang w:val="en-US"/>
        </w:rPr>
        <w:t xml:space="preserve"> </w:t>
      </w:r>
      <w:r w:rsidRPr="001519D1">
        <w:rPr>
          <w:rFonts w:ascii="Arial" w:hAnsi="Arial" w:cs="Arial"/>
          <w:lang w:val="en-US"/>
        </w:rPr>
        <w:t>The freshly prepared suspension to washcoat the micromonolithic support consist</w:t>
      </w:r>
      <w:r w:rsidR="00C34BDE" w:rsidRPr="001519D1">
        <w:rPr>
          <w:rFonts w:ascii="Arial" w:hAnsi="Arial" w:cs="Arial"/>
          <w:lang w:val="en-US"/>
        </w:rPr>
        <w:t>s</w:t>
      </w:r>
      <w:r w:rsidRPr="001519D1">
        <w:rPr>
          <w:rFonts w:ascii="Arial" w:hAnsi="Arial" w:cs="Arial"/>
          <w:lang w:val="en-US"/>
        </w:rPr>
        <w:t xml:space="preserve"> in </w:t>
      </w:r>
      <w:r w:rsidR="00C25B62" w:rsidRPr="001519D1">
        <w:rPr>
          <w:rFonts w:ascii="Arial" w:hAnsi="Arial" w:cs="Arial"/>
          <w:lang w:val="en-US"/>
        </w:rPr>
        <w:t xml:space="preserve">80 wt.% deionized </w:t>
      </w:r>
      <w:r w:rsidR="00C25B62" w:rsidRPr="001519D1">
        <w:rPr>
          <w:rFonts w:ascii="Arial" w:hAnsi="Arial" w:cs="Arial"/>
          <w:lang w:val="en-US"/>
        </w:rPr>
        <w:lastRenderedPageBreak/>
        <w:t>water, 6 wt.% of a commercial aqueous solution of colloidal Al</w:t>
      </w:r>
      <w:r w:rsidR="00C25B62" w:rsidRPr="001519D1">
        <w:rPr>
          <w:rFonts w:ascii="Arial" w:hAnsi="Arial" w:cs="Arial"/>
          <w:vertAlign w:val="subscript"/>
          <w:lang w:val="en-US"/>
        </w:rPr>
        <w:t>2</w:t>
      </w:r>
      <w:r w:rsidR="00C25B62" w:rsidRPr="001519D1">
        <w:rPr>
          <w:rFonts w:ascii="Arial" w:hAnsi="Arial" w:cs="Arial"/>
          <w:lang w:val="en-US"/>
        </w:rPr>
        <w:t>O</w:t>
      </w:r>
      <w:r w:rsidR="00C25B62" w:rsidRPr="001519D1">
        <w:rPr>
          <w:rFonts w:ascii="Arial" w:hAnsi="Arial" w:cs="Arial"/>
          <w:vertAlign w:val="subscript"/>
          <w:lang w:val="en-US"/>
        </w:rPr>
        <w:t>3</w:t>
      </w:r>
      <w:r w:rsidR="00C25B62" w:rsidRPr="001519D1">
        <w:rPr>
          <w:rFonts w:ascii="Arial" w:hAnsi="Arial" w:cs="Arial"/>
          <w:lang w:val="en-US"/>
        </w:rPr>
        <w:t xml:space="preserve"> (20 wt.% of alumina, Nyacol) and 14 wt.% of the sieved catalyst with particle sizes below 50 µm. The slurry, once formulated, is aged under continuous stirring for 24 h in a closed vessel. The micromonoliths were washcoated by </w:t>
      </w:r>
      <w:r w:rsidRPr="001519D1">
        <w:rPr>
          <w:rFonts w:ascii="Arial" w:hAnsi="Arial" w:cs="Arial"/>
          <w:lang w:val="en-US"/>
        </w:rPr>
        <w:t>successive immersion/emersion cycles until the desired load is achieved. After every cycle, the excess slurry was eliminated, by blowing air to avoid their obstruction and</w:t>
      </w:r>
      <w:r w:rsidR="00C25B62" w:rsidRPr="001519D1">
        <w:rPr>
          <w:rFonts w:ascii="Arial" w:hAnsi="Arial" w:cs="Arial"/>
          <w:lang w:val="en-US"/>
        </w:rPr>
        <w:t xml:space="preserve"> the micromonolith </w:t>
      </w:r>
      <w:r w:rsidR="00C34BDE" w:rsidRPr="001519D1">
        <w:rPr>
          <w:rFonts w:ascii="Arial" w:hAnsi="Arial" w:cs="Arial"/>
          <w:lang w:val="en-US"/>
        </w:rPr>
        <w:t xml:space="preserve">was </w:t>
      </w:r>
      <w:r w:rsidR="00C25B62" w:rsidRPr="001519D1">
        <w:rPr>
          <w:rFonts w:ascii="Arial" w:hAnsi="Arial" w:cs="Arial"/>
          <w:lang w:val="en-US"/>
        </w:rPr>
        <w:t xml:space="preserve">dried at 100 ºC for 30 minutes. This process is repeated until the desired amount of catalyst is loaded. </w:t>
      </w:r>
      <w:r w:rsidR="00C34BDE" w:rsidRPr="001519D1">
        <w:rPr>
          <w:rFonts w:ascii="Arial" w:hAnsi="Arial" w:cs="Arial"/>
          <w:lang w:val="en-US"/>
        </w:rPr>
        <w:t>Finally, t</w:t>
      </w:r>
      <w:r w:rsidR="00C25B62" w:rsidRPr="001519D1">
        <w:rPr>
          <w:rFonts w:ascii="Arial" w:hAnsi="Arial" w:cs="Arial"/>
          <w:lang w:val="en-US"/>
        </w:rPr>
        <w:t>he structured catalyst was calcined at the same temperature than the original catalytic powder but with a heating ramp of 2 ºC·min</w:t>
      </w:r>
      <w:r w:rsidR="00C25B62" w:rsidRPr="001519D1">
        <w:rPr>
          <w:rFonts w:ascii="Arial" w:hAnsi="Arial" w:cs="Arial"/>
          <w:vertAlign w:val="superscript"/>
          <w:lang w:val="en-US"/>
        </w:rPr>
        <w:t>-1</w:t>
      </w:r>
      <w:r w:rsidR="00C25B62" w:rsidRPr="001519D1">
        <w:rPr>
          <w:rFonts w:ascii="Arial" w:hAnsi="Arial" w:cs="Arial"/>
          <w:lang w:val="en-US"/>
        </w:rPr>
        <w:t>, in order to slowly remove the leftovers without creating porosity or fissures.</w:t>
      </w:r>
    </w:p>
    <w:p w14:paraId="23CF5CA6" w14:textId="77777777" w:rsidR="00C25B62" w:rsidRPr="001519D1" w:rsidRDefault="00C25B62" w:rsidP="00C25B62">
      <w:pPr>
        <w:spacing w:after="0" w:line="360" w:lineRule="auto"/>
        <w:rPr>
          <w:rFonts w:ascii="Arial" w:hAnsi="Arial" w:cs="Arial"/>
          <w:lang w:val="en-US"/>
        </w:rPr>
      </w:pPr>
    </w:p>
    <w:p w14:paraId="652202ED" w14:textId="77777777" w:rsidR="00C25B62" w:rsidRPr="001519D1" w:rsidRDefault="00C25B62" w:rsidP="00C25B62">
      <w:pPr>
        <w:spacing w:after="0" w:line="360" w:lineRule="auto"/>
        <w:rPr>
          <w:rFonts w:ascii="Arial" w:hAnsi="Arial" w:cs="Arial"/>
          <w:b/>
          <w:bCs/>
          <w:lang w:val="en-US"/>
        </w:rPr>
      </w:pPr>
      <w:r w:rsidRPr="001519D1">
        <w:rPr>
          <w:rFonts w:ascii="Arial" w:hAnsi="Arial" w:cs="Arial"/>
          <w:b/>
          <w:bCs/>
          <w:lang w:val="en-US"/>
        </w:rPr>
        <w:t>2.3 Water Gas Shift reaction.</w:t>
      </w:r>
    </w:p>
    <w:p w14:paraId="64D727E5" w14:textId="77777777" w:rsidR="00C25B62" w:rsidRPr="001519D1" w:rsidRDefault="00C25B62" w:rsidP="00C25B62">
      <w:pPr>
        <w:spacing w:after="0" w:line="360" w:lineRule="auto"/>
        <w:rPr>
          <w:rFonts w:ascii="Arial" w:hAnsi="Arial" w:cs="Arial"/>
          <w:lang w:val="en-US"/>
        </w:rPr>
      </w:pPr>
      <w:r w:rsidRPr="001519D1">
        <w:rPr>
          <w:rFonts w:ascii="Arial" w:hAnsi="Arial" w:cs="Arial"/>
          <w:lang w:val="en-US"/>
        </w:rPr>
        <w:t>The WGS reaction has been carried out at atmospheric pressure in a home-made rig coupled to an on-line ABB gas analyzer (AO2020) equipped with an IR detector in a tubular fixed bed reactor of 9 mm in diameter for powder catalysts and of 18 mm for structured catalysts. The catalytic tests were carried out in the 180 ºC - 350 ºC temperature range using two different feeds named model conditions (4.5% CO, 30% of H</w:t>
      </w:r>
      <w:r w:rsidRPr="001519D1">
        <w:rPr>
          <w:rFonts w:ascii="Arial" w:hAnsi="Arial" w:cs="Arial"/>
          <w:vertAlign w:val="subscript"/>
          <w:lang w:val="en-US"/>
        </w:rPr>
        <w:t>2</w:t>
      </w:r>
      <w:r w:rsidRPr="001519D1">
        <w:rPr>
          <w:rFonts w:ascii="Arial" w:hAnsi="Arial" w:cs="Arial"/>
          <w:lang w:val="en-US"/>
        </w:rPr>
        <w:t>O and N</w:t>
      </w:r>
      <w:r w:rsidRPr="001519D1">
        <w:rPr>
          <w:rFonts w:ascii="Arial" w:hAnsi="Arial" w:cs="Arial"/>
          <w:vertAlign w:val="subscript"/>
          <w:lang w:val="en-US"/>
        </w:rPr>
        <w:t>2</w:t>
      </w:r>
      <w:r w:rsidRPr="001519D1">
        <w:rPr>
          <w:rFonts w:ascii="Arial" w:hAnsi="Arial" w:cs="Arial"/>
          <w:lang w:val="en-US"/>
        </w:rPr>
        <w:t xml:space="preserve"> as balance) and industrial conditions (9% CO, 30% of H</w:t>
      </w:r>
      <w:r w:rsidRPr="001519D1">
        <w:rPr>
          <w:rFonts w:ascii="Arial" w:hAnsi="Arial" w:cs="Arial"/>
          <w:vertAlign w:val="subscript"/>
          <w:lang w:val="en-US"/>
        </w:rPr>
        <w:t>2</w:t>
      </w:r>
      <w:r w:rsidRPr="001519D1">
        <w:rPr>
          <w:rFonts w:ascii="Arial" w:hAnsi="Arial" w:cs="Arial"/>
          <w:lang w:val="en-US"/>
        </w:rPr>
        <w:t>O, 11% CO</w:t>
      </w:r>
      <w:r w:rsidRPr="001519D1">
        <w:rPr>
          <w:rFonts w:ascii="Arial" w:hAnsi="Arial" w:cs="Arial"/>
          <w:vertAlign w:val="subscript"/>
          <w:lang w:val="en-US"/>
        </w:rPr>
        <w:t>2</w:t>
      </w:r>
      <w:r w:rsidRPr="001519D1">
        <w:rPr>
          <w:rFonts w:ascii="Arial" w:hAnsi="Arial" w:cs="Arial"/>
          <w:lang w:val="en-US"/>
        </w:rPr>
        <w:t xml:space="preserve"> and 50% H</w:t>
      </w:r>
      <w:r w:rsidRPr="001519D1">
        <w:rPr>
          <w:rFonts w:ascii="Arial" w:hAnsi="Arial" w:cs="Arial"/>
          <w:vertAlign w:val="subscript"/>
          <w:lang w:val="en-US"/>
        </w:rPr>
        <w:t>2</w:t>
      </w:r>
      <w:r w:rsidRPr="001519D1">
        <w:rPr>
          <w:rFonts w:ascii="Arial" w:hAnsi="Arial" w:cs="Arial"/>
          <w:lang w:val="en-US"/>
        </w:rPr>
        <w:t>). In all the experiments 0.1 g of the PtCeAl catalyst was always loaded. The powder catalysts were either tested separately or physically mixed with the synthesized ionic conductors using a 1:5 (catalyst:ionic conductor) mass ratio. Prior to the catalytic tests the powder were sieved and particles in the 600-800 µm particle size range were selected for the experiments, keeping constant the bed volume for all the tests adding inert quartz chips in the same particle range when needed. The structured catalysts were prepared in such a way that the final catalyst loading was 0.1 g and the PtCeAl catalyst: ZrEuMo_5 ionic conductor set in a 1:5 mass ratio. All experiments (either powder or structured catalysts) were performed at a constant space velocity of 80000 mL·h</w:t>
      </w:r>
      <w:r w:rsidRPr="001519D1">
        <w:rPr>
          <w:rFonts w:ascii="Arial" w:hAnsi="Arial" w:cs="Arial"/>
          <w:vertAlign w:val="superscript"/>
          <w:lang w:val="en-US"/>
        </w:rPr>
        <w:t>-1</w:t>
      </w:r>
      <w:r w:rsidRPr="001519D1">
        <w:rPr>
          <w:rFonts w:ascii="Arial" w:hAnsi="Arial" w:cs="Arial"/>
          <w:lang w:val="en-US"/>
        </w:rPr>
        <w:t>·g</w:t>
      </w:r>
      <w:r w:rsidRPr="001519D1">
        <w:rPr>
          <w:rFonts w:ascii="Arial" w:hAnsi="Arial" w:cs="Arial"/>
          <w:vertAlign w:val="subscript"/>
          <w:lang w:val="en-US"/>
        </w:rPr>
        <w:t>cat</w:t>
      </w:r>
      <w:r w:rsidRPr="001519D1">
        <w:rPr>
          <w:rFonts w:ascii="Arial" w:hAnsi="Arial" w:cs="Arial"/>
          <w:vertAlign w:val="superscript"/>
          <w:lang w:val="en-US"/>
        </w:rPr>
        <w:t>-1</w:t>
      </w:r>
      <w:r w:rsidRPr="001519D1">
        <w:rPr>
          <w:rFonts w:ascii="Arial" w:hAnsi="Arial" w:cs="Arial"/>
          <w:lang w:val="en-US"/>
        </w:rPr>
        <w:t>.</w:t>
      </w:r>
    </w:p>
    <w:p w14:paraId="71E76615" w14:textId="77777777" w:rsidR="00A50281" w:rsidRPr="001519D1" w:rsidRDefault="00A50281" w:rsidP="00C25B62">
      <w:pPr>
        <w:spacing w:after="0" w:line="360" w:lineRule="auto"/>
        <w:rPr>
          <w:rFonts w:ascii="Arial" w:hAnsi="Arial" w:cs="Arial"/>
          <w:lang w:val="en-US"/>
        </w:rPr>
      </w:pPr>
    </w:p>
    <w:p w14:paraId="1C08A306" w14:textId="77777777" w:rsidR="00C25B62" w:rsidRPr="001519D1" w:rsidRDefault="00C25B62" w:rsidP="00C25B62">
      <w:pPr>
        <w:spacing w:after="0" w:line="360" w:lineRule="auto"/>
        <w:rPr>
          <w:rFonts w:ascii="Arial" w:hAnsi="Arial" w:cs="Arial"/>
          <w:b/>
          <w:bCs/>
          <w:lang w:val="en-US"/>
        </w:rPr>
      </w:pPr>
      <w:r w:rsidRPr="001519D1">
        <w:rPr>
          <w:rFonts w:ascii="Arial" w:hAnsi="Arial" w:cs="Arial"/>
          <w:b/>
          <w:bCs/>
          <w:lang w:val="en-US"/>
        </w:rPr>
        <w:t>2.4 Characterization.</w:t>
      </w:r>
    </w:p>
    <w:p w14:paraId="1262EE7B" w14:textId="1B0FB47E" w:rsidR="00C25B62" w:rsidRPr="001519D1" w:rsidRDefault="00C25B62" w:rsidP="00513FE8">
      <w:pPr>
        <w:spacing w:after="0" w:line="360" w:lineRule="auto"/>
        <w:rPr>
          <w:rFonts w:ascii="Arial" w:hAnsi="Arial" w:cs="Arial"/>
          <w:lang w:val="en-US"/>
        </w:rPr>
      </w:pPr>
      <w:r w:rsidRPr="001519D1">
        <w:rPr>
          <w:rFonts w:ascii="Arial" w:hAnsi="Arial" w:cs="Arial"/>
          <w:lang w:val="en-US"/>
        </w:rPr>
        <w:t>The structural analysis of the synthesized samples and calcined slurries was performed by XRD (X-ray diffraction) on an X’Pert Pro PANalytical instrument. Diffraction patterns were obtained using Cu Kα radiation (40 mA, 45 kV) over a 2θ-range of 10-90º and using a step size of 0.05 º and a step time of 80 s. The chemical composition of the prepared materials was determined by X-ray fluorescence spectrometry (XRF) using an AXIOS PANalytical spectrometer with Rh source of radiation</w:t>
      </w:r>
      <w:r w:rsidR="00513FE8" w:rsidRPr="001519D1">
        <w:rPr>
          <w:rFonts w:ascii="Arial" w:hAnsi="Arial" w:cs="Arial"/>
          <w:lang w:val="en-US"/>
        </w:rPr>
        <w:t>,</w:t>
      </w:r>
      <w:r w:rsidR="00513FE8" w:rsidRPr="001519D1">
        <w:t xml:space="preserve"> </w:t>
      </w:r>
      <w:r w:rsidR="00513FE8" w:rsidRPr="001519D1">
        <w:rPr>
          <w:rFonts w:ascii="Arial" w:hAnsi="Arial" w:cs="Arial"/>
          <w:lang w:val="en-US"/>
        </w:rPr>
        <w:t>working at 40 kV. For the experiments, the samples were previously dispersed in boric acid pellets and covered by thin wax film. S</w:t>
      </w:r>
      <w:r w:rsidRPr="001519D1">
        <w:rPr>
          <w:rFonts w:ascii="Arial" w:hAnsi="Arial" w:cs="Arial"/>
          <w:lang w:val="en-US"/>
        </w:rPr>
        <w:t xml:space="preserve">ynthesized samples and structured catalysts were degassed in vacuum at 250 ºC for 4 h </w:t>
      </w:r>
      <w:r w:rsidRPr="001519D1">
        <w:rPr>
          <w:rFonts w:ascii="Arial" w:hAnsi="Arial" w:cs="Arial"/>
          <w:lang w:val="en-US"/>
        </w:rPr>
        <w:lastRenderedPageBreak/>
        <w:t>and analy</w:t>
      </w:r>
      <w:r w:rsidR="007C7A25" w:rsidRPr="001519D1">
        <w:rPr>
          <w:rFonts w:ascii="Arial" w:hAnsi="Arial" w:cs="Arial"/>
          <w:lang w:val="en-US"/>
        </w:rPr>
        <w:t>z</w:t>
      </w:r>
      <w:r w:rsidRPr="001519D1">
        <w:rPr>
          <w:rFonts w:ascii="Arial" w:hAnsi="Arial" w:cs="Arial"/>
          <w:lang w:val="en-US"/>
        </w:rPr>
        <w:t>ed by N</w:t>
      </w:r>
      <w:r w:rsidRPr="001519D1">
        <w:rPr>
          <w:rFonts w:ascii="Arial" w:hAnsi="Arial" w:cs="Arial"/>
          <w:vertAlign w:val="subscript"/>
          <w:lang w:val="en-US"/>
        </w:rPr>
        <w:t>2</w:t>
      </w:r>
      <w:r w:rsidRPr="001519D1">
        <w:rPr>
          <w:rFonts w:ascii="Arial" w:hAnsi="Arial" w:cs="Arial"/>
          <w:lang w:val="en-US"/>
        </w:rPr>
        <w:t xml:space="preserve"> adsorption at liquid nitrogen temperature with a Micromeritics Tristar II instrument in order to determine their textural properties.</w:t>
      </w:r>
    </w:p>
    <w:p w14:paraId="78639B3A" w14:textId="77777777" w:rsidR="00C25B62" w:rsidRPr="001519D1" w:rsidRDefault="00C25B62" w:rsidP="00C25B62">
      <w:pPr>
        <w:spacing w:after="0" w:line="360" w:lineRule="auto"/>
        <w:rPr>
          <w:rFonts w:ascii="Arial" w:hAnsi="Arial" w:cs="Arial"/>
          <w:lang w:val="en-US"/>
        </w:rPr>
      </w:pPr>
    </w:p>
    <w:p w14:paraId="20470944" w14:textId="77777777" w:rsidR="00C25B62" w:rsidRPr="001519D1" w:rsidRDefault="00C25B62" w:rsidP="00C25B62">
      <w:pPr>
        <w:spacing w:after="0" w:line="360" w:lineRule="auto"/>
        <w:rPr>
          <w:rFonts w:ascii="Arial" w:hAnsi="Arial" w:cs="Arial"/>
          <w:lang w:val="en-US"/>
        </w:rPr>
      </w:pPr>
      <w:r w:rsidRPr="001519D1">
        <w:rPr>
          <w:rFonts w:ascii="Arial" w:hAnsi="Arial" w:cs="Arial"/>
          <w:lang w:val="en-US"/>
        </w:rPr>
        <w:t>X-ray photoelectron spectra (XPS) of the ionic conductors were recorded on a Leybold-Hereus LHS-10/20 spectrometer equipped with an ultra-high vacuum (UHV) system operating at 5·10-9 Torr and a dual X-ray source, of which the Al Kα (1485 eV) was used. Binding energy correction was performed by fixing C 1s level at 284.6 eV. Spectra were analysed with CasaXPS software and Gaussian-Lorentzian (70:30) curves were used for the fittings. High resolution scans were acquired at binding energy intervals associated with the Zr 3d, Eu 3d, Mo 3d, O 1s and C 1s levels. In order to quantify the band areas and obtain superficial atomic percentages, Zr 3d</w:t>
      </w:r>
      <w:r w:rsidRPr="001519D1">
        <w:rPr>
          <w:rFonts w:ascii="Arial" w:hAnsi="Arial" w:cs="Arial"/>
          <w:vertAlign w:val="subscript"/>
          <w:lang w:val="en-US"/>
        </w:rPr>
        <w:t>5/2</w:t>
      </w:r>
      <w:r w:rsidRPr="001519D1">
        <w:rPr>
          <w:rFonts w:ascii="Arial" w:hAnsi="Arial" w:cs="Arial"/>
          <w:lang w:val="en-US"/>
        </w:rPr>
        <w:t>, Eu 3d</w:t>
      </w:r>
      <w:r w:rsidRPr="001519D1">
        <w:rPr>
          <w:rFonts w:ascii="Arial" w:hAnsi="Arial" w:cs="Arial"/>
          <w:vertAlign w:val="subscript"/>
          <w:lang w:val="en-US"/>
        </w:rPr>
        <w:t>5/2</w:t>
      </w:r>
      <w:r w:rsidRPr="001519D1">
        <w:rPr>
          <w:rFonts w:ascii="Arial" w:hAnsi="Arial" w:cs="Arial"/>
          <w:lang w:val="en-US"/>
        </w:rPr>
        <w:t xml:space="preserve"> and Mo 3d</w:t>
      </w:r>
      <w:r w:rsidRPr="001519D1">
        <w:rPr>
          <w:rFonts w:ascii="Arial" w:hAnsi="Arial" w:cs="Arial"/>
          <w:vertAlign w:val="subscript"/>
          <w:lang w:val="en-US"/>
        </w:rPr>
        <w:t>5/2</w:t>
      </w:r>
      <w:r w:rsidRPr="001519D1">
        <w:rPr>
          <w:rFonts w:ascii="Arial" w:hAnsi="Arial" w:cs="Arial"/>
          <w:lang w:val="en-US"/>
        </w:rPr>
        <w:t xml:space="preserve"> peaks areas corrected with their respective Scofield factors for Al Kα source were used.</w:t>
      </w:r>
    </w:p>
    <w:p w14:paraId="603B3FA8" w14:textId="77777777" w:rsidR="00C25B62" w:rsidRPr="001519D1" w:rsidRDefault="00C25B62" w:rsidP="00C25B62">
      <w:pPr>
        <w:spacing w:after="0" w:line="360" w:lineRule="auto"/>
        <w:rPr>
          <w:rFonts w:ascii="Arial" w:hAnsi="Arial" w:cs="Arial"/>
          <w:lang w:val="en-US"/>
        </w:rPr>
      </w:pPr>
    </w:p>
    <w:p w14:paraId="5C05F495" w14:textId="77777777" w:rsidR="00C25B62" w:rsidRPr="001519D1" w:rsidRDefault="00C25B62" w:rsidP="00C25B62">
      <w:pPr>
        <w:spacing w:after="0" w:line="360" w:lineRule="auto"/>
        <w:rPr>
          <w:rFonts w:ascii="Arial" w:hAnsi="Arial" w:cs="Arial"/>
          <w:lang w:val="en-US"/>
        </w:rPr>
      </w:pPr>
      <w:r w:rsidRPr="001519D1">
        <w:rPr>
          <w:rFonts w:ascii="Arial" w:hAnsi="Arial" w:cs="Arial"/>
          <w:lang w:val="en-US"/>
        </w:rPr>
        <w:t>Raman spectroscopy analysis of the ionic conductors were performed in a dispersive Horiva Jobin Yvon LabRam HR800 microscope. Raman spectra were obtained by using a 532.14 nm (green) laser excitation source with a ×50 microscope objective. The power of the laser on the sample is 20 mW with a 600 g·mm</w:t>
      </w:r>
      <w:r w:rsidRPr="001519D1">
        <w:rPr>
          <w:rFonts w:ascii="Arial" w:hAnsi="Arial" w:cs="Arial"/>
          <w:vertAlign w:val="superscript"/>
          <w:lang w:val="en-US"/>
        </w:rPr>
        <w:t>-1</w:t>
      </w:r>
      <w:r w:rsidRPr="001519D1">
        <w:rPr>
          <w:rFonts w:ascii="Arial" w:hAnsi="Arial" w:cs="Arial"/>
          <w:lang w:val="en-US"/>
        </w:rPr>
        <w:t xml:space="preserve"> grating. Two types of filters were used: D1 filter which reduces the laser to 2 mW to avoid a saturated signal in the 1000 – 4000 cm</w:t>
      </w:r>
      <w:r w:rsidRPr="001519D1">
        <w:rPr>
          <w:rFonts w:ascii="Arial" w:hAnsi="Arial" w:cs="Arial"/>
          <w:vertAlign w:val="superscript"/>
          <w:lang w:val="en-US"/>
        </w:rPr>
        <w:t>-1</w:t>
      </w:r>
      <w:r w:rsidRPr="001519D1">
        <w:rPr>
          <w:rFonts w:ascii="Arial" w:hAnsi="Arial" w:cs="Arial"/>
          <w:lang w:val="en-US"/>
        </w:rPr>
        <w:t xml:space="preserve"> range and D0.6 filter to have a laser of 5 mW for the 200 – 1000 cm</w:t>
      </w:r>
      <w:r w:rsidRPr="001519D1">
        <w:rPr>
          <w:rFonts w:ascii="Arial" w:hAnsi="Arial" w:cs="Arial"/>
          <w:vertAlign w:val="superscript"/>
          <w:lang w:val="en-US"/>
        </w:rPr>
        <w:t>-1</w:t>
      </w:r>
      <w:r w:rsidRPr="001519D1">
        <w:rPr>
          <w:rFonts w:ascii="Arial" w:hAnsi="Arial" w:cs="Arial"/>
          <w:lang w:val="en-US"/>
        </w:rPr>
        <w:t xml:space="preserve"> range. A confocal pinhole of 1000 µm was employed for all the measurements reported. Prior to the analysis, the Raman spectrometer was calibrated using a silicon wafer reference. Moreover, due to the Eu luminescence and in order to observe the molybdenum oxide structure, a 785 nm (red) laser excitation source with a ×100 microscope objective was also used in the same conditions. The UV–vis spectra were recorded on an Avantes spectrometer model AvaLight-DH-S-BAL. All the spectra were collected in absorbance mode using BaSO</w:t>
      </w:r>
      <w:r w:rsidRPr="001519D1">
        <w:rPr>
          <w:rFonts w:ascii="Arial" w:hAnsi="Arial" w:cs="Arial"/>
          <w:vertAlign w:val="subscript"/>
          <w:lang w:val="en-US"/>
        </w:rPr>
        <w:t>4</w:t>
      </w:r>
      <w:r w:rsidRPr="001519D1">
        <w:rPr>
          <w:rFonts w:ascii="Arial" w:hAnsi="Arial" w:cs="Arial"/>
          <w:lang w:val="en-US"/>
        </w:rPr>
        <w:t xml:space="preserve"> as reference. Finally, the ionic conductors were analysed by Temperature Programed Reduction (TPR) experiments carried out with a flow of 5 vol.% of H</w:t>
      </w:r>
      <w:r w:rsidRPr="001519D1">
        <w:rPr>
          <w:rFonts w:ascii="Arial" w:hAnsi="Arial" w:cs="Arial"/>
          <w:vertAlign w:val="subscript"/>
          <w:lang w:val="en-US"/>
        </w:rPr>
        <w:t>2</w:t>
      </w:r>
      <w:r w:rsidRPr="001519D1">
        <w:rPr>
          <w:rFonts w:ascii="Arial" w:hAnsi="Arial" w:cs="Arial"/>
          <w:lang w:val="en-US"/>
        </w:rPr>
        <w:t xml:space="preserve"> in Ar using a heating ramp of 10 ºC·min</w:t>
      </w:r>
      <w:r w:rsidRPr="001519D1">
        <w:rPr>
          <w:rFonts w:ascii="Arial" w:hAnsi="Arial" w:cs="Arial"/>
          <w:vertAlign w:val="superscript"/>
          <w:lang w:val="en-US"/>
        </w:rPr>
        <w:t>-1</w:t>
      </w:r>
      <w:r w:rsidRPr="001519D1">
        <w:rPr>
          <w:rFonts w:ascii="Arial" w:hAnsi="Arial" w:cs="Arial"/>
          <w:lang w:val="en-US"/>
        </w:rPr>
        <w:t xml:space="preserve"> from RT to 950 ºC. For the quantitative analysis the TCD signal was calibrated with a CuO pattern (Strem Chemicals 99.999%).</w:t>
      </w:r>
    </w:p>
    <w:p w14:paraId="6B84EF30" w14:textId="77777777" w:rsidR="00C25B62" w:rsidRPr="001519D1" w:rsidRDefault="00C25B62" w:rsidP="00C25B62">
      <w:pPr>
        <w:spacing w:after="0" w:line="360" w:lineRule="auto"/>
        <w:rPr>
          <w:rFonts w:ascii="Arial" w:hAnsi="Arial" w:cs="Arial"/>
          <w:lang w:val="en-US"/>
        </w:rPr>
      </w:pPr>
    </w:p>
    <w:p w14:paraId="65D8F654" w14:textId="300F80C9" w:rsidR="00C25B62" w:rsidRPr="001519D1" w:rsidRDefault="007F314D" w:rsidP="00C25B62">
      <w:pPr>
        <w:spacing w:after="0" w:line="360" w:lineRule="auto"/>
        <w:rPr>
          <w:rFonts w:ascii="Arial" w:hAnsi="Arial" w:cs="Arial"/>
          <w:lang w:val="en-US"/>
        </w:rPr>
      </w:pPr>
      <w:r w:rsidRPr="001519D1">
        <w:rPr>
          <w:rFonts w:ascii="Arial" w:hAnsi="Arial" w:cs="Arial"/>
          <w:lang w:val="en-US"/>
        </w:rPr>
        <w:t>An estimate</w:t>
      </w:r>
      <w:r w:rsidR="00C25B62" w:rsidRPr="001519D1">
        <w:rPr>
          <w:rFonts w:ascii="Arial" w:hAnsi="Arial" w:cs="Arial"/>
          <w:lang w:val="en-US"/>
        </w:rPr>
        <w:t xml:space="preserve"> of the stability of the slurries </w:t>
      </w:r>
      <w:r w:rsidRPr="001519D1">
        <w:rPr>
          <w:rFonts w:ascii="Arial" w:hAnsi="Arial" w:cs="Arial"/>
          <w:lang w:val="en-US"/>
        </w:rPr>
        <w:t>is obtained</w:t>
      </w:r>
      <w:r w:rsidR="00C25B62" w:rsidRPr="001519D1">
        <w:rPr>
          <w:rFonts w:ascii="Arial" w:hAnsi="Arial" w:cs="Arial"/>
          <w:lang w:val="en-US"/>
        </w:rPr>
        <w:t xml:space="preserve"> by measuring the Z potential of the colloidal suspension of the catalyst in deionized water with a Zetamaster Malvern Instrument (BFi Optilas). The Z potential was measured from pH 1-2 to 10-11 to obtain the complete curve. Moreover, each point was determined as the media of 9 measurements. The viscosities of the prepared slurries were measured in time (1h) and at different rpm (from 150 to 250 rpm) in a programmable rheometer Brookfield Model DV-III equipped with RV Spindle set.</w:t>
      </w:r>
    </w:p>
    <w:p w14:paraId="4F6ED1F3" w14:textId="77777777" w:rsidR="00C25B62" w:rsidRPr="001519D1" w:rsidRDefault="00C25B62" w:rsidP="00C25B62">
      <w:pPr>
        <w:spacing w:after="0" w:line="360" w:lineRule="auto"/>
        <w:rPr>
          <w:rFonts w:ascii="Arial" w:hAnsi="Arial" w:cs="Arial"/>
          <w:lang w:val="en-US"/>
        </w:rPr>
      </w:pPr>
    </w:p>
    <w:p w14:paraId="69794485" w14:textId="4062FF23" w:rsidR="00C25B62" w:rsidRPr="001519D1" w:rsidRDefault="00C25B62" w:rsidP="00C25B62">
      <w:pPr>
        <w:spacing w:after="0" w:line="360" w:lineRule="auto"/>
        <w:rPr>
          <w:rFonts w:ascii="Arial" w:hAnsi="Arial" w:cs="Arial"/>
          <w:lang w:val="en-US"/>
        </w:rPr>
      </w:pPr>
      <w:r w:rsidRPr="001519D1">
        <w:rPr>
          <w:rFonts w:ascii="Arial" w:hAnsi="Arial" w:cs="Arial"/>
          <w:lang w:val="en-US"/>
        </w:rPr>
        <w:t>Scanning electron microscopy (SEM) analysis of the catalytic layer deposited on the micromonoliths were performed on a Hitachi S4800 SEM-FEG microscope equipped with a cold cathode field emission gun with voltage from 0.5 to 30 kV and resolution of 1nm at 15 kV. The microscope has coupled a Bruker-X Flash-4010 EDX detector with a resolution of 133 eV (at the MnKα line) and a detector with sample holder to work in transmission mode (STEM-in-SEM). The catalyst’ adherence over the metallic support was analy</w:t>
      </w:r>
      <w:r w:rsidR="007F314D" w:rsidRPr="001519D1">
        <w:rPr>
          <w:rFonts w:ascii="Arial" w:hAnsi="Arial" w:cs="Arial"/>
          <w:lang w:val="en-US"/>
        </w:rPr>
        <w:t>z</w:t>
      </w:r>
      <w:r w:rsidRPr="001519D1">
        <w:rPr>
          <w:rFonts w:ascii="Arial" w:hAnsi="Arial" w:cs="Arial"/>
          <w:lang w:val="en-US"/>
        </w:rPr>
        <w:t>ed by immersing the micromonolith in acetone for 30 min in an ultrasonic bath according to a procedure previously published</w:t>
      </w:r>
      <w:r w:rsidR="000B1F92" w:rsidRPr="001519D1">
        <w:rPr>
          <w:rFonts w:ascii="Arial" w:hAnsi="Arial" w:cs="Arial"/>
          <w:lang w:val="en-US"/>
        </w:rPr>
        <w:t xml:space="preserve"> </w:t>
      </w:r>
      <w:r w:rsidR="000B1F92"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"ISBN" : "1763117634", "author" : [ { "dropping-particle" : "", "family" : "Yasaki", "given" : "Shigeru", "non-dropping-particle" : "", "parse-names" : false, "suffix" : "" }, { "dropping-particle" : "", "family" : "Yoshino", "given" : "Yasutaka", "non-dropping-particle" : "", "parse-names" : false, "suffix" : "" }, { "dropping-particle" : "", "family" : "Ihara", "given" : "Kazunori", "non-dropping-particle" : "", "parse-names" : false, "suffix" : "" }, { "dropping-particle" : "", "family" : "Ohkubo", "given" : "Kenji", "non-dropping-particle" : "", "parse-names" : false, "suffix" : "" } ], "id" : "ITEM-1", "issued" : { "date-parts" : [ [ "1993" ] ] }, "number" : "5,208,206", "page" : "1-10", "publisher-place" : "United States", "title" : "US Patent 5,208,206 Method of manufacturing an exhaust gas purifying catalyst", "type" : "patent" }, "uris" : [ "http://www.mendeley.com/documents/?uuid=7992de16-cd37-43a0-a3b4-6c3f5441a06b" ] } ], "mendeley" : { "formattedCitation" : "[41]", "plainTextFormattedCitation" : "[41]", "previouslyFormattedCitation" : "[41]" }, "properties" : { "noteIndex" : 0 }, "schema" : "https://github.com/citation-style-language/schema/raw/master/csl-citation.json" }</w:instrText>
      </w:r>
      <w:r w:rsidR="000B1F92" w:rsidRPr="001519D1">
        <w:rPr>
          <w:rFonts w:ascii="Arial" w:hAnsi="Arial" w:cs="Arial"/>
          <w:lang w:val="en-US"/>
        </w:rPr>
        <w:fldChar w:fldCharType="separate"/>
      </w:r>
      <w:r w:rsidR="00C76F86" w:rsidRPr="001519D1">
        <w:rPr>
          <w:rFonts w:ascii="Arial" w:hAnsi="Arial" w:cs="Arial"/>
          <w:noProof/>
          <w:lang w:val="en-US"/>
        </w:rPr>
        <w:t>[41]</w:t>
      </w:r>
      <w:r w:rsidR="000B1F92" w:rsidRPr="001519D1">
        <w:rPr>
          <w:rFonts w:ascii="Arial" w:hAnsi="Arial" w:cs="Arial"/>
          <w:lang w:val="en-US"/>
        </w:rPr>
        <w:fldChar w:fldCharType="end"/>
      </w:r>
      <w:r w:rsidR="000B1F92" w:rsidRPr="001519D1">
        <w:rPr>
          <w:rFonts w:ascii="Arial" w:hAnsi="Arial" w:cs="Arial"/>
          <w:lang w:val="en-US"/>
        </w:rPr>
        <w:t>.</w:t>
      </w:r>
      <w:r w:rsidRPr="001519D1">
        <w:rPr>
          <w:rFonts w:ascii="Arial" w:hAnsi="Arial" w:cs="Arial"/>
          <w:lang w:val="en-US"/>
        </w:rPr>
        <w:t xml:space="preserve"> The adherence was estimated as the difference in weight with respect to the untreated sample.</w:t>
      </w:r>
    </w:p>
    <w:p w14:paraId="6C469C13" w14:textId="77777777" w:rsidR="00C25B62" w:rsidRPr="001519D1" w:rsidRDefault="00C25B62" w:rsidP="00C25B62">
      <w:pPr>
        <w:spacing w:after="0" w:line="360" w:lineRule="auto"/>
        <w:rPr>
          <w:rFonts w:ascii="Arial" w:hAnsi="Arial" w:cs="Arial"/>
          <w:lang w:val="en-US"/>
        </w:rPr>
      </w:pPr>
    </w:p>
    <w:p w14:paraId="6BDE651C" w14:textId="77777777" w:rsidR="00C25B62" w:rsidRPr="001519D1" w:rsidRDefault="00C25B62" w:rsidP="00C25B62">
      <w:pPr>
        <w:spacing w:after="0" w:line="360" w:lineRule="auto"/>
        <w:rPr>
          <w:rFonts w:ascii="Arial" w:hAnsi="Arial" w:cs="Arial"/>
          <w:b/>
          <w:bCs/>
          <w:lang w:val="en-US"/>
        </w:rPr>
      </w:pPr>
      <w:r w:rsidRPr="001519D1">
        <w:rPr>
          <w:rFonts w:ascii="Arial" w:hAnsi="Arial" w:cs="Arial"/>
          <w:b/>
          <w:bCs/>
          <w:lang w:val="en-US"/>
        </w:rPr>
        <w:t>3. Results and discussion</w:t>
      </w:r>
    </w:p>
    <w:p w14:paraId="4DD9C5B4" w14:textId="77777777" w:rsidR="00C25B62" w:rsidRPr="001519D1" w:rsidRDefault="00C25B62" w:rsidP="00C25B62">
      <w:pPr>
        <w:spacing w:after="0" w:line="360" w:lineRule="auto"/>
        <w:rPr>
          <w:rFonts w:ascii="Arial" w:hAnsi="Arial" w:cs="Arial"/>
          <w:b/>
          <w:bCs/>
          <w:lang w:val="en-US"/>
        </w:rPr>
      </w:pPr>
      <w:r w:rsidRPr="001519D1">
        <w:rPr>
          <w:rFonts w:ascii="Arial" w:hAnsi="Arial" w:cs="Arial"/>
          <w:b/>
          <w:bCs/>
          <w:lang w:val="en-US"/>
        </w:rPr>
        <w:t>3.1 Catalytic activity in WGS reaction.</w:t>
      </w:r>
    </w:p>
    <w:p w14:paraId="36825ED6" w14:textId="0CB8D4A4" w:rsidR="00C25B62" w:rsidRPr="001519D1" w:rsidRDefault="00C25B62" w:rsidP="00C25B62">
      <w:pPr>
        <w:spacing w:after="0" w:line="360" w:lineRule="auto"/>
        <w:rPr>
          <w:rFonts w:ascii="Arial" w:hAnsi="Arial" w:cs="Arial"/>
          <w:lang w:val="en-US"/>
        </w:rPr>
      </w:pPr>
      <w:r w:rsidRPr="001519D1">
        <w:rPr>
          <w:rFonts w:ascii="Arial" w:hAnsi="Arial" w:cs="Arial"/>
          <w:lang w:val="en-US"/>
        </w:rPr>
        <w:t xml:space="preserve">The synthesized catalyst PtCeAl and the mixtures of PtCeAl with ZrEuMo_x ionic conductors in a mass ratio of 1:5 have been tested in </w:t>
      </w:r>
      <w:r w:rsidR="00DD104F" w:rsidRPr="001519D1">
        <w:rPr>
          <w:rFonts w:ascii="Arial" w:hAnsi="Arial" w:cs="Arial"/>
          <w:lang w:val="en-US"/>
        </w:rPr>
        <w:t xml:space="preserve">the </w:t>
      </w:r>
      <w:r w:rsidRPr="001519D1">
        <w:rPr>
          <w:rFonts w:ascii="Arial" w:hAnsi="Arial" w:cs="Arial"/>
          <w:lang w:val="en-US"/>
        </w:rPr>
        <w:t>WGS reaction in the same conditions (see</w:t>
      </w:r>
      <w:r w:rsidR="000658F8" w:rsidRPr="001519D1">
        <w:rPr>
          <w:rFonts w:ascii="Arial" w:hAnsi="Arial" w:cs="Arial"/>
          <w:lang w:val="en-US"/>
        </w:rPr>
        <w:t xml:space="preserve"> section</w:t>
      </w:r>
      <w:r w:rsidR="00F057CE" w:rsidRPr="001519D1">
        <w:rPr>
          <w:rFonts w:ascii="Arial" w:hAnsi="Arial" w:cs="Arial"/>
          <w:lang w:val="en-US"/>
        </w:rPr>
        <w:t xml:space="preserve"> </w:t>
      </w:r>
      <w:r w:rsidRPr="001519D1">
        <w:rPr>
          <w:rFonts w:ascii="Arial" w:hAnsi="Arial" w:cs="Arial"/>
          <w:lang w:val="en-US"/>
        </w:rPr>
        <w:t xml:space="preserve">2.3). The reaction carried out in the two different tested feeds, model conditions (Figure 2a) and industrial conditions (Figure 2b), show higher CO conversion </w:t>
      </w:r>
      <w:r w:rsidR="00DD104F" w:rsidRPr="001519D1">
        <w:rPr>
          <w:rFonts w:ascii="Arial" w:hAnsi="Arial" w:cs="Arial"/>
          <w:lang w:val="en-US"/>
        </w:rPr>
        <w:t xml:space="preserve">for </w:t>
      </w:r>
      <w:r w:rsidRPr="001519D1">
        <w:rPr>
          <w:rFonts w:ascii="Arial" w:hAnsi="Arial" w:cs="Arial"/>
          <w:lang w:val="en-US"/>
        </w:rPr>
        <w:t xml:space="preserve">the </w:t>
      </w:r>
      <w:r w:rsidR="00DD104F" w:rsidRPr="001519D1">
        <w:rPr>
          <w:rFonts w:ascii="Arial" w:hAnsi="Arial" w:cs="Arial"/>
          <w:lang w:val="en-US"/>
        </w:rPr>
        <w:t xml:space="preserve">physical </w:t>
      </w:r>
      <w:r w:rsidRPr="001519D1">
        <w:rPr>
          <w:rFonts w:ascii="Arial" w:hAnsi="Arial" w:cs="Arial"/>
          <w:lang w:val="en-US"/>
        </w:rPr>
        <w:t xml:space="preserve">mixture catalysts than </w:t>
      </w:r>
      <w:r w:rsidR="00DD104F" w:rsidRPr="001519D1">
        <w:rPr>
          <w:rFonts w:ascii="Arial" w:hAnsi="Arial" w:cs="Arial"/>
          <w:lang w:val="en-US"/>
        </w:rPr>
        <w:t xml:space="preserve">for </w:t>
      </w:r>
      <w:r w:rsidRPr="001519D1">
        <w:rPr>
          <w:rFonts w:ascii="Arial" w:hAnsi="Arial" w:cs="Arial"/>
          <w:lang w:val="en-US"/>
        </w:rPr>
        <w:t xml:space="preserve">the bare PtCeAl catalyst. </w:t>
      </w:r>
      <w:r w:rsidR="00DD104F" w:rsidRPr="001519D1">
        <w:rPr>
          <w:rFonts w:ascii="Arial" w:hAnsi="Arial" w:cs="Arial"/>
          <w:lang w:val="en-US"/>
        </w:rPr>
        <w:t xml:space="preserve">It is worth noting that </w:t>
      </w:r>
      <w:r w:rsidRPr="001519D1">
        <w:rPr>
          <w:rFonts w:ascii="Arial" w:hAnsi="Arial" w:cs="Arial"/>
          <w:lang w:val="en-US"/>
        </w:rPr>
        <w:t xml:space="preserve">the ionic conductor does not present activity </w:t>
      </w:r>
      <w:r w:rsidR="00DD104F" w:rsidRPr="001519D1">
        <w:rPr>
          <w:rFonts w:ascii="Arial" w:hAnsi="Arial" w:cs="Arial"/>
          <w:lang w:val="en-US"/>
        </w:rPr>
        <w:t xml:space="preserve">in the </w:t>
      </w:r>
      <w:r w:rsidRPr="001519D1">
        <w:rPr>
          <w:rFonts w:ascii="Arial" w:hAnsi="Arial" w:cs="Arial"/>
          <w:lang w:val="en-US"/>
        </w:rPr>
        <w:t>WGS reaction by itself</w:t>
      </w:r>
      <w:r w:rsidR="00DD104F" w:rsidRPr="001519D1">
        <w:rPr>
          <w:rFonts w:ascii="Arial" w:hAnsi="Arial" w:cs="Arial"/>
          <w:lang w:val="en-US"/>
        </w:rPr>
        <w:t>; however,</w:t>
      </w:r>
      <w:r w:rsidRPr="001519D1">
        <w:rPr>
          <w:rFonts w:ascii="Arial" w:hAnsi="Arial" w:cs="Arial"/>
          <w:lang w:val="en-US"/>
        </w:rPr>
        <w:t xml:space="preserve"> it successfully enhances the WGS catalyst activity</w:t>
      </w:r>
      <w:r w:rsidR="00C616DA" w:rsidRPr="001519D1">
        <w:rPr>
          <w:rFonts w:ascii="Arial" w:hAnsi="Arial" w:cs="Arial"/>
          <w:lang w:val="en-US"/>
        </w:rPr>
        <w:t xml:space="preserve"> in the kinetic regime</w:t>
      </w:r>
      <w:r w:rsidRPr="001519D1">
        <w:rPr>
          <w:rFonts w:ascii="Arial" w:hAnsi="Arial" w:cs="Arial"/>
          <w:lang w:val="en-US"/>
        </w:rPr>
        <w:t xml:space="preserve"> from ~270 – 280 ºC, when the proper catalyst starts to work. According to the proton conductivity properties of these mixed oxides</w:t>
      </w:r>
      <w:r w:rsidR="000B1F92" w:rsidRPr="001519D1">
        <w:rPr>
          <w:rFonts w:ascii="Arial" w:hAnsi="Arial" w:cs="Arial"/>
          <w:lang w:val="en-US"/>
        </w:rPr>
        <w:t xml:space="preserve"> </w:t>
      </w:r>
      <w:r w:rsidR="000B1F92" w:rsidRPr="001519D1">
        <w:rPr>
          <w:rFonts w:ascii="Arial" w:hAnsi="Arial" w:cs="Arial"/>
          <w:lang w:val="en-US"/>
        </w:rPr>
        <w:fldChar w:fldCharType="begin" w:fldLock="1"/>
      </w:r>
      <w:r w:rsidR="000B1F92" w:rsidRPr="001519D1">
        <w:rPr>
          <w:rFonts w:ascii="Arial" w:hAnsi="Arial" w:cs="Arial"/>
          <w:lang w:val="en-US"/>
        </w:rPr>
        <w:instrText>ADDIN CSL_CITATION { "citationItems" : [ { "id" : "ITEM-1", "itemData" : { "DOI" : "10.1016/j.apcatb.2018.03.001", "ISSN" : "09263373", "abstract" : "Eu-doped ZrO2solid solutions have been synthesized in order to prepare proton conductors as water-enhancer additives for the WGS reaction. Elemental characterization has been carried out revealing homogeneous dopant distribution resulting in fluorite-type solid solutions for Eu2O3contents up to \u223c9 mol.%. Representative samples of the Eu-doped ZrO2series have been analysed by Impedance Spectroscopy (IS) in inert, oxygen and wet conditions. The solid solution with 5 mol.% of Eu2O3has presented the highest conductivity values for all tested conditions indicating an optimal amount of dopant. Moreover, the presence of vapour pressure results in an increment of the conductivity at temperatures lower than 300 \u00b0C, meanwhile at higher temperatures the conductivity is the same than that in inert conditions. To elucidate these results, in situ DRIFTS studies were carried out. These experiments evidenced the existence of water dissociation at oxygen vacancies (band at 3724 cm\u22121) as well as the presence of physisorbed water at temperatures up to \u223c300 \u00b0C where the band at 5248 cm\u22121characteristic of these species disappeared. These results points to a layer model where the physisorbed water interacts with surface hydroxyls generated by dissociated water that improves the proton conductivity through Grotthuss\u2019 mechanism in the RT-300 \u00b0C temperature range. These samples were successfully tested in WGS reaction as additive to a typical Pt-based catalyst. The presence of the mixed oxide reveals an increase of the catalyst\u2019 activity assisted by the proton conductor, since improves the water activation step.", "author" : [ { "dropping-particle" : "", "family" : "Garc\u00eda-Moncada", "given" : "Nuria", "non-dropping-particle" : "", "parse-names" : false, "suffix" : "" }, { "dropping-particle" : "", "family" : "Bobadilla", "given" : "Luis F.", "non-dropping-particle" : "", "parse-names" : false, "suffix" : "" }, { "dropping-particle" : "", "family" : "Poyato", "given" : "Rosal\u00eda", "non-dropping-particle" : "", "parse-names" : false, "suffix" : "" }, { "dropping-particle" : "", "family" : "L\u00f3pez-Cartes", "given" : "Carlos", "non-dropping-particle" : "", "parse-names" : false, "suffix" : "" }, { "dropping-particle" : "", "family" : "Romero-Sarria", "given" : "Francisca", "non-dropping-particle" : "", "parse-names" : false, "suffix" : "" }, { "dropping-particle" : "", "family" : "Centeno", "given" : "Miguel \u00c1ngel", "non-dropping-particle" : "", "parse-names" : false, "suffix" : "" }, { "dropping-particle" : "", "family" : "Odriozola", "given" : "Jos\u00e9 Antonio", "non-dropping-particle" : "", "parse-names" : false, "suffix" : "" } ], "container-title" : "Applied Catalysis B: Environmental", "id" : "ITEM-1", "issued" : { "date-parts" : [ [ "2018" ] ] }, "page" : "343-356", "publisher" : "Elsevier", "title" : "A direct in situ observation of water-enhanced proton conductivity of Eu-doped ZrO2: Effect on WGS reaction", "type" : "article-journal", "volume" : "231" }, "uris" : [ "http://www.mendeley.com/documents/?uuid=2791e843-8b51-456b-9c4d-1590f34730e1" ] } ], "mendeley" : { "formattedCitation" : "[6]", "plainTextFormattedCitation" : "[6]", "previouslyFormattedCitation" : "[6]" }, "properties" : { "noteIndex" : 0 }, "schema" : "https://github.com/citation-style-language/schema/raw/master/csl-citation.json" }</w:instrText>
      </w:r>
      <w:r w:rsidR="000B1F92" w:rsidRPr="001519D1">
        <w:rPr>
          <w:rFonts w:ascii="Arial" w:hAnsi="Arial" w:cs="Arial"/>
          <w:lang w:val="en-US"/>
        </w:rPr>
        <w:fldChar w:fldCharType="separate"/>
      </w:r>
      <w:r w:rsidR="000B1F92" w:rsidRPr="001519D1">
        <w:rPr>
          <w:rFonts w:ascii="Arial" w:hAnsi="Arial" w:cs="Arial"/>
          <w:noProof/>
          <w:lang w:val="en-US"/>
        </w:rPr>
        <w:t>[6]</w:t>
      </w:r>
      <w:r w:rsidR="000B1F92" w:rsidRPr="001519D1">
        <w:rPr>
          <w:rFonts w:ascii="Arial" w:hAnsi="Arial" w:cs="Arial"/>
          <w:lang w:val="en-US"/>
        </w:rPr>
        <w:fldChar w:fldCharType="end"/>
      </w:r>
      <w:r w:rsidRPr="001519D1">
        <w:rPr>
          <w:rFonts w:ascii="Arial" w:hAnsi="Arial" w:cs="Arial"/>
          <w:lang w:val="en-US"/>
        </w:rPr>
        <w:t xml:space="preserve"> (see also </w:t>
      </w:r>
      <w:r w:rsidR="00F057CE" w:rsidRPr="001519D1">
        <w:rPr>
          <w:rFonts w:ascii="Arial" w:hAnsi="Arial" w:cs="Arial"/>
          <w:lang w:val="en-US"/>
        </w:rPr>
        <w:t xml:space="preserve">section </w:t>
      </w:r>
      <w:r w:rsidRPr="001519D1">
        <w:rPr>
          <w:rFonts w:ascii="Arial" w:hAnsi="Arial" w:cs="Arial"/>
          <w:lang w:val="en-US"/>
        </w:rPr>
        <w:t xml:space="preserve">3.2), it may be hypothesized that the presence of the ionic conductor more probably favors the water supply to the PtCeAl catalyst either dissociated or in molecular form. As the water availability increases higher CO conversions are attained. It must be pointed out that the acceleration of the water activation step results in higher reaction rates as has already been </w:t>
      </w:r>
      <w:r w:rsidR="00DD104F" w:rsidRPr="001519D1">
        <w:rPr>
          <w:rFonts w:ascii="Arial" w:hAnsi="Arial" w:cs="Arial"/>
          <w:lang w:val="en-US"/>
        </w:rPr>
        <w:t xml:space="preserve">demonstrated </w:t>
      </w:r>
      <w:r w:rsidRPr="001519D1">
        <w:rPr>
          <w:rFonts w:ascii="Arial" w:hAnsi="Arial" w:cs="Arial"/>
          <w:lang w:val="en-US"/>
        </w:rPr>
        <w:t xml:space="preserve">by García-Moncada </w:t>
      </w:r>
      <w:r w:rsidRPr="001519D1">
        <w:rPr>
          <w:rFonts w:ascii="Arial" w:hAnsi="Arial" w:cs="Arial"/>
          <w:i/>
          <w:iCs/>
          <w:lang w:val="en-US"/>
        </w:rPr>
        <w:t>et al</w:t>
      </w:r>
      <w:r w:rsidRPr="001519D1">
        <w:rPr>
          <w:rFonts w:ascii="Arial" w:hAnsi="Arial" w:cs="Arial"/>
          <w:lang w:val="en-US"/>
        </w:rPr>
        <w:t>.</w:t>
      </w:r>
      <w:r w:rsidR="000B1F92" w:rsidRPr="001519D1">
        <w:rPr>
          <w:rFonts w:ascii="Arial" w:hAnsi="Arial" w:cs="Arial"/>
          <w:lang w:val="en-US"/>
        </w:rPr>
        <w:t xml:space="preserve"> </w:t>
      </w:r>
      <w:r w:rsidR="000B1F92"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"10.3390/catal8120594", "ISSN" : "2073-4344", "abstract" : "A kinetic study of the water gas shift (WGS) reaction has been carried out on a Pt-based catalyst promoted by a Zr-based proton conductor. The investigation was first performed on powders with diluted feed mixtures and then extended to more severe and representative conditions by using a catalyst coated metallic micromonolith. Temperature measurements reveal that isothermal conditions were obtained along the micromonolith during the tested conditions. In addition, the very thin catalytic layer allows for the discarding of intraporous resistances, providing excellent conditions to analyse the kinetics of the WGS reaction under the integral regime. The proposed rate expression accounts for independence on CO concentration, an inhibiting effect of H2 and a promoting effect of H2O; kinetic orders on CO and H2 are in line with those reported in the literature for the Pt-based catalyst. Instead, the obtained reaction order of water (0.36) is significantly lower than that reported for unpromoted catalysts (typically 0.77\u20131.10) in good agreement with the proposed water-enhancer effect of the proton conductor on the rate-limiting step. Metallic micromonoliths turn out to be a powerful tool for the kinetic investigation, due to the absence of mass and heat transport limitations and represent a strategy for the intensification of the WGS unit for future applications of fuel processors in small mobile devices.", "author" : [ { "dropping-particle" : "", "family" : "Garc\u00eda-Moncada", "given" : "Nuria", "non-dropping-particle" : "", "parse-names" : false, "suffix" : "" }, { "dropping-particle" : "", "family" : "Groppi", "given" : "Gianpiero", "non-dropping-particle" : "", "parse-names" : false, "suffix" : "" }, { "dropping-particle" : "", "family" : "Beretta", "given" : "Alessandra", "non-dropping-particle" : "", "parse-names" : false, "suffix" : "" }, { "dropping-particle" : "", "family" : "Romero-Sarria", "given" : "Francisca", "non-dropping-particle" : "", "parse-names" : false, "suffix" : "" }, { "dropping-particle" : "", "family" : "Odriozola", "given" : "Jos\u00e9 Antonio", "non-dropping-particle" : "", "parse-names" : false, "suffix" : "" } ], "container-title" : "Catalysts", "id" : "ITEM-1", "issue" : "12", "issued" : { "date-parts" : [ [ "2018" ] ] }, "page" : "594", "title" : "Metal Micro-Monoliths for the Kinetic Study and the Intensification of the Water Gas Shift Reaction", "type" : "article-journal", "volume" : "8" }, "uris" : [ "http://www.mendeley.com/documents/?uuid=d2e1607a-550c-4877-8ff6-f571774e36f9" ] } ], "mendeley" : { "formattedCitation" : "[37]", "plainTextFormattedCitation" : "[37]", "previouslyFormattedCitation" : "[37]" }, "properties" : { "noteIndex" : 0 }, "schema" : "https://github.com/citation-style-language/schema/raw/master/csl-citation.json" }</w:instrText>
      </w:r>
      <w:r w:rsidR="000B1F92" w:rsidRPr="001519D1">
        <w:rPr>
          <w:rFonts w:ascii="Arial" w:hAnsi="Arial" w:cs="Arial"/>
          <w:lang w:val="en-US"/>
        </w:rPr>
        <w:fldChar w:fldCharType="separate"/>
      </w:r>
      <w:r w:rsidR="00C76F86" w:rsidRPr="001519D1">
        <w:rPr>
          <w:rFonts w:ascii="Arial" w:hAnsi="Arial" w:cs="Arial"/>
          <w:noProof/>
          <w:lang w:val="en-US"/>
        </w:rPr>
        <w:t>[37]</w:t>
      </w:r>
      <w:r w:rsidR="000B1F92" w:rsidRPr="001519D1">
        <w:rPr>
          <w:rFonts w:ascii="Arial" w:hAnsi="Arial" w:cs="Arial"/>
          <w:lang w:val="en-US"/>
        </w:rPr>
        <w:fldChar w:fldCharType="end"/>
      </w:r>
      <w:r w:rsidR="000B1F92" w:rsidRPr="001519D1">
        <w:rPr>
          <w:rFonts w:ascii="Arial" w:hAnsi="Arial" w:cs="Arial"/>
          <w:lang w:val="en-US"/>
        </w:rPr>
        <w:t>.</w:t>
      </w:r>
      <w:r w:rsidRPr="001519D1">
        <w:rPr>
          <w:rFonts w:ascii="Arial" w:hAnsi="Arial" w:cs="Arial"/>
          <w:lang w:val="en-US"/>
        </w:rPr>
        <w:t xml:space="preserve"> Thus, the role of the mixed oxide involves the dissociation of the water and proton conductivity by Grotthuss’ mechanism, which improves the water activation step, whatever the conditions. Therefore, the ZrEuMo_x samples act as water-enhancer at the service of the catalyst</w:t>
      </w:r>
      <w:r w:rsidR="00986067" w:rsidRPr="001519D1">
        <w:rPr>
          <w:rFonts w:ascii="Arial" w:hAnsi="Arial" w:cs="Arial"/>
          <w:lang w:val="en-US"/>
        </w:rPr>
        <w:t xml:space="preserve">, as is depicted in Schema 1 and according to our previous study </w:t>
      </w:r>
      <w:r w:rsidR="00194472"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"10.1016/j.apcatb.2018.03.001", "ISSN" : "09263373", "abstract" : "Eu-doped ZrO2solid solutions have been synthesized in order to prepare proton conductors as water-enhancer additives for the WGS reaction. Elemental characterization has been carried out revealing homogeneous dopant distribution resulting in fluorite-type solid solutions for Eu2O3contents up to \u223c9 mol.%. Representative samples of the Eu-doped ZrO2series have been analysed by Impedance Spectroscopy (IS) in inert, oxygen and wet conditions. The solid solution with 5 mol.% of Eu2O3has presented the highest conductivity values for all tested conditions indicating an optimal amount of dopant. Moreover, the presence of vapour pressure results in an increment of the conductivity at temperatures lower than 300 \u00b0C, meanwhile at higher temperatures the conductivity is the same than that in inert conditions. To elucidate these results, in situ DRIFTS studies were carried out. These experiments evidenced the existence of water dissociation at oxygen vacancies (band at 3724 cm\u22121) as well as the presence of physisorbed water at temperatures up to \u223c300 \u00b0C where the band at 5248 cm\u22121characteristic of these species disappeared. These results points to a layer model where the physisorbed water interacts with surface hydroxyls generated by dissociated water that improves the proton conductivity through Grotthuss\u2019 mechanism in the RT-300 \u00b0C temperature range. These samples were successfully tested in WGS reaction as additive to a typical Pt-based catalyst. The presence of the mixed oxide reveals an increase of the catalyst\u2019 activity assisted by the proton conductor, since improves the water activation step.", "author" : [ { "dropping-particle" : "", "family" : "Garc\u00eda-Moncada", "given" : "Nuria", "non-dropping-particle" : "", "parse-names" : false, "suffix" : "" }, { "dropping-particle" : "", "family" : "Bobadilla", "given" : "Luis F.", "non-dropping-particle" : "", "parse-names" : false, "suffix" : "" }, { "dropping-particle" : "", "family" : "Poyato", "given" : "Rosal\u00eda", "non-dropping-particle" : "", "parse-names" : false, "suffix" : "" }, { "dropping-particle" : "", "family" : "L\u00f3pez-Cartes", "given" : "Carlos", "non-dropping-particle" : "", "parse-names" : false, "suffix" : "" }, { "dropping-particle" : "", "family" : "Romero-Sarria", "given" : "Francisca", "non-dropping-particle" : "", "parse-names" : false, "suffix" : "" }, { "dropping-particle" : "", "family" : "Centeno", "given" : "Miguel \u00c1ngel", "non-dropping-particle" : "", "parse-names" : false, "suffix" : "" }, { "dropping-particle" : "", "family" : "Odriozola", "given" : "Jos\u00e9 Antonio", "non-dropping-particle" : "", "parse-names" : false, "suffix" : "" } ], "container-title" : "Applied Catalysis B: Environmental", "id" : "ITEM-1", "issued" : { "date-parts" : [ [ "2018" ] ] }, "page" : "343-356", "publisher" : "Elsevier", "title" : "A direct in situ observation of water-enhanced proton conductivity of Eu-doped ZrO2: Effect on WGS reaction", "type" : "article-journal", "volume" : "231" }, "uris" : [ "http://www.mendeley.com/documents/?uuid=2791e843-8b51-456b-9c4d-1590f34730e1" ] } ], "mendeley" : { "formattedCitation" : "[6]", "plainTextFormattedCitation" : "[6]" }, "properties" : { "noteIndex" : 0 }, "schema" : "https://github.com/citation-style-language/schema/raw/master/csl-citation.json" }</w:instrText>
      </w:r>
      <w:r w:rsidR="00194472" w:rsidRPr="001519D1">
        <w:rPr>
          <w:rFonts w:ascii="Arial" w:hAnsi="Arial" w:cs="Arial"/>
          <w:lang w:val="en-US"/>
        </w:rPr>
        <w:fldChar w:fldCharType="separate"/>
      </w:r>
      <w:r w:rsidR="00194472" w:rsidRPr="001519D1">
        <w:rPr>
          <w:rFonts w:ascii="Arial" w:hAnsi="Arial" w:cs="Arial"/>
          <w:noProof/>
          <w:lang w:val="en-US"/>
        </w:rPr>
        <w:t>[6]</w:t>
      </w:r>
      <w:r w:rsidR="00194472" w:rsidRPr="001519D1">
        <w:rPr>
          <w:rFonts w:ascii="Arial" w:hAnsi="Arial" w:cs="Arial"/>
          <w:lang w:val="en-US"/>
        </w:rPr>
        <w:fldChar w:fldCharType="end"/>
      </w:r>
      <w:r w:rsidRPr="001519D1">
        <w:rPr>
          <w:rFonts w:ascii="Arial" w:hAnsi="Arial" w:cs="Arial"/>
          <w:lang w:val="en-US"/>
        </w:rPr>
        <w:t>.</w:t>
      </w:r>
      <w:r w:rsidR="00C616DA" w:rsidRPr="001519D1">
        <w:rPr>
          <w:rFonts w:ascii="Arial" w:hAnsi="Arial" w:cs="Arial"/>
          <w:lang w:val="en-US"/>
        </w:rPr>
        <w:t xml:space="preserve"> </w:t>
      </w:r>
    </w:p>
    <w:p w14:paraId="6D5BD0A6" w14:textId="77777777" w:rsidR="00F057CE" w:rsidRPr="001519D1" w:rsidRDefault="00F057CE" w:rsidP="00C25B62">
      <w:pPr>
        <w:spacing w:after="0" w:line="360" w:lineRule="auto"/>
        <w:rPr>
          <w:rFonts w:ascii="Arial" w:hAnsi="Arial" w:cs="Arial"/>
          <w:lang w:val="en-US"/>
        </w:rPr>
      </w:pPr>
    </w:p>
    <w:p w14:paraId="62AD541D" w14:textId="77777777" w:rsidR="00F057CE" w:rsidRPr="001519D1" w:rsidRDefault="00B92893" w:rsidP="00F057CE">
      <w:pPr>
        <w:keepNext/>
        <w:spacing w:after="0" w:line="360" w:lineRule="auto"/>
      </w:pPr>
      <w:r w:rsidRPr="001519D1">
        <w:rPr>
          <w:rFonts w:ascii="Arial" w:hAnsi="Arial" w:cs="Arial"/>
          <w:noProof/>
          <w:lang w:val="es-ES" w:eastAsia="es-ES"/>
        </w:rPr>
        <w:lastRenderedPageBreak/>
        <w:drawing>
          <wp:inline distT="0" distB="0" distL="0" distR="0" wp14:anchorId="6795C62E" wp14:editId="77E0CB0B">
            <wp:extent cx="4148127" cy="20193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0064" cy="2029979"/>
                    </a:xfrm>
                    <a:prstGeom prst="rect">
                      <a:avLst/>
                    </a:prstGeom>
                    <a:noFill/>
                  </pic:spPr>
                </pic:pic>
              </a:graphicData>
            </a:graphic>
          </wp:inline>
        </w:drawing>
      </w:r>
    </w:p>
    <w:p w14:paraId="427D066B" w14:textId="494B0AAB" w:rsidR="00B92893" w:rsidRPr="001519D1" w:rsidRDefault="00F057CE" w:rsidP="00F057CE">
      <w:pPr>
        <w:pStyle w:val="Descripcin"/>
        <w:rPr>
          <w:rFonts w:ascii="Arial" w:hAnsi="Arial" w:cs="Arial"/>
          <w:i w:val="0"/>
          <w:iCs w:val="0"/>
          <w:noProof/>
          <w:color w:val="auto"/>
          <w:sz w:val="22"/>
          <w:szCs w:val="22"/>
          <w:lang w:val="en-US"/>
        </w:rPr>
      </w:pPr>
      <w:r w:rsidRPr="001519D1">
        <w:rPr>
          <w:rFonts w:ascii="Arial" w:hAnsi="Arial" w:cs="Arial"/>
          <w:i w:val="0"/>
          <w:iCs w:val="0"/>
          <w:color w:val="auto"/>
          <w:sz w:val="22"/>
          <w:szCs w:val="22"/>
          <w:lang w:val="en-US"/>
        </w:rPr>
        <w:t xml:space="preserve">Figure </w:t>
      </w:r>
      <w:r w:rsidRPr="001519D1">
        <w:rPr>
          <w:rFonts w:ascii="Arial" w:hAnsi="Arial" w:cs="Arial"/>
          <w:i w:val="0"/>
          <w:iCs w:val="0"/>
          <w:color w:val="auto"/>
          <w:sz w:val="22"/>
          <w:szCs w:val="22"/>
        </w:rPr>
        <w:fldChar w:fldCharType="begin"/>
      </w:r>
      <w:r w:rsidRPr="001519D1">
        <w:rPr>
          <w:rFonts w:ascii="Arial" w:hAnsi="Arial" w:cs="Arial"/>
          <w:i w:val="0"/>
          <w:iCs w:val="0"/>
          <w:color w:val="auto"/>
          <w:sz w:val="22"/>
          <w:szCs w:val="22"/>
          <w:lang w:val="en-US"/>
        </w:rPr>
        <w:instrText xml:space="preserve"> SEQ Figure \* ARABIC </w:instrText>
      </w:r>
      <w:r w:rsidRPr="001519D1">
        <w:rPr>
          <w:rFonts w:ascii="Arial" w:hAnsi="Arial" w:cs="Arial"/>
          <w:i w:val="0"/>
          <w:iCs w:val="0"/>
          <w:color w:val="auto"/>
          <w:sz w:val="22"/>
          <w:szCs w:val="22"/>
        </w:rPr>
        <w:fldChar w:fldCharType="separate"/>
      </w:r>
      <w:r w:rsidR="00AB59A7" w:rsidRPr="001519D1">
        <w:rPr>
          <w:rFonts w:ascii="Arial" w:hAnsi="Arial" w:cs="Arial"/>
          <w:i w:val="0"/>
          <w:iCs w:val="0"/>
          <w:noProof/>
          <w:color w:val="auto"/>
          <w:sz w:val="22"/>
          <w:szCs w:val="22"/>
          <w:lang w:val="en-US"/>
        </w:rPr>
        <w:t>2</w:t>
      </w:r>
      <w:r w:rsidRPr="001519D1">
        <w:rPr>
          <w:rFonts w:ascii="Arial" w:hAnsi="Arial" w:cs="Arial"/>
          <w:i w:val="0"/>
          <w:iCs w:val="0"/>
          <w:color w:val="auto"/>
          <w:sz w:val="22"/>
          <w:szCs w:val="22"/>
        </w:rPr>
        <w:fldChar w:fldCharType="end"/>
      </w:r>
      <w:r w:rsidRPr="001519D1">
        <w:rPr>
          <w:rFonts w:ascii="Arial" w:hAnsi="Arial" w:cs="Arial"/>
          <w:i w:val="0"/>
          <w:iCs w:val="0"/>
          <w:color w:val="auto"/>
          <w:sz w:val="22"/>
          <w:szCs w:val="22"/>
          <w:lang w:val="en-US"/>
        </w:rPr>
        <w:t>.</w:t>
      </w:r>
      <w:r w:rsidRPr="001519D1">
        <w:rPr>
          <w:rFonts w:ascii="Arial" w:hAnsi="Arial" w:cs="Arial"/>
          <w:i w:val="0"/>
          <w:iCs w:val="0"/>
          <w:noProof/>
          <w:color w:val="auto"/>
          <w:sz w:val="22"/>
          <w:szCs w:val="22"/>
          <w:lang w:val="en-US"/>
        </w:rPr>
        <w:t xml:space="preserve"> Catalytic tests in WGS reaction on powder catalysts in model conditions (a) and in industrial conditions (b).</w:t>
      </w:r>
    </w:p>
    <w:p w14:paraId="741DA4AE" w14:textId="77777777" w:rsidR="00491551" w:rsidRPr="001519D1" w:rsidRDefault="00491551" w:rsidP="00491551">
      <w:pPr>
        <w:rPr>
          <w:lang w:val="en-US"/>
        </w:rPr>
      </w:pPr>
    </w:p>
    <w:p w14:paraId="771EB994" w14:textId="61E6F3A3" w:rsidR="00194472" w:rsidRPr="001519D1" w:rsidRDefault="00491551" w:rsidP="00491551">
      <w:pPr>
        <w:rPr>
          <w:lang w:val="en-US"/>
        </w:rPr>
      </w:pPr>
      <w:r w:rsidRPr="001519D1">
        <w:rPr>
          <w:noProof/>
          <w:lang w:val="es-ES" w:eastAsia="es-ES"/>
        </w:rPr>
        <w:drawing>
          <wp:inline distT="0" distB="0" distL="0" distR="0" wp14:anchorId="241D66EC" wp14:editId="39F3DE3D">
            <wp:extent cx="4602480" cy="1690011"/>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2480" cy="1690011"/>
                    </a:xfrm>
                    <a:prstGeom prst="rect">
                      <a:avLst/>
                    </a:prstGeom>
                    <a:noFill/>
                  </pic:spPr>
                </pic:pic>
              </a:graphicData>
            </a:graphic>
          </wp:inline>
        </w:drawing>
      </w:r>
    </w:p>
    <w:p w14:paraId="516C0612" w14:textId="42A3D9F7" w:rsidR="00C25B62" w:rsidRPr="001519D1" w:rsidRDefault="00194472" w:rsidP="00194472">
      <w:pPr>
        <w:pStyle w:val="Descripcin"/>
        <w:rPr>
          <w:rFonts w:ascii="Arial" w:hAnsi="Arial" w:cs="Arial"/>
          <w:color w:val="auto"/>
          <w:sz w:val="22"/>
          <w:szCs w:val="22"/>
          <w:lang w:val="en-US"/>
        </w:rPr>
      </w:pPr>
      <w:r w:rsidRPr="001519D1">
        <w:rPr>
          <w:rFonts w:ascii="Arial" w:hAnsi="Arial" w:cs="Arial"/>
          <w:color w:val="auto"/>
          <w:sz w:val="22"/>
          <w:szCs w:val="22"/>
        </w:rPr>
        <w:t xml:space="preserve">Scheme </w:t>
      </w:r>
      <w:r w:rsidRPr="001519D1">
        <w:rPr>
          <w:rFonts w:ascii="Arial" w:hAnsi="Arial" w:cs="Arial"/>
          <w:color w:val="auto"/>
          <w:sz w:val="22"/>
          <w:szCs w:val="22"/>
        </w:rPr>
        <w:fldChar w:fldCharType="begin"/>
      </w:r>
      <w:r w:rsidRPr="001519D1">
        <w:rPr>
          <w:rFonts w:ascii="Arial" w:hAnsi="Arial" w:cs="Arial"/>
          <w:color w:val="auto"/>
          <w:sz w:val="22"/>
          <w:szCs w:val="22"/>
        </w:rPr>
        <w:instrText xml:space="preserve"> SEQ Scheme \* ARABIC </w:instrText>
      </w:r>
      <w:r w:rsidRPr="001519D1">
        <w:rPr>
          <w:rFonts w:ascii="Arial" w:hAnsi="Arial" w:cs="Arial"/>
          <w:color w:val="auto"/>
          <w:sz w:val="22"/>
          <w:szCs w:val="22"/>
        </w:rPr>
        <w:fldChar w:fldCharType="separate"/>
      </w:r>
      <w:r w:rsidRPr="001519D1">
        <w:rPr>
          <w:rFonts w:ascii="Arial" w:hAnsi="Arial" w:cs="Arial"/>
          <w:noProof/>
          <w:color w:val="auto"/>
          <w:sz w:val="22"/>
          <w:szCs w:val="22"/>
        </w:rPr>
        <w:t>1</w:t>
      </w:r>
      <w:r w:rsidRPr="001519D1">
        <w:rPr>
          <w:rFonts w:ascii="Arial" w:hAnsi="Arial" w:cs="Arial"/>
          <w:color w:val="auto"/>
          <w:sz w:val="22"/>
          <w:szCs w:val="22"/>
        </w:rPr>
        <w:fldChar w:fldCharType="end"/>
      </w:r>
      <w:r w:rsidRPr="001519D1">
        <w:rPr>
          <w:rFonts w:ascii="Arial" w:hAnsi="Arial" w:cs="Arial"/>
          <w:color w:val="auto"/>
          <w:sz w:val="22"/>
          <w:szCs w:val="22"/>
        </w:rPr>
        <w:t>.</w:t>
      </w:r>
      <w:r w:rsidRPr="001519D1">
        <w:rPr>
          <w:rFonts w:ascii="Arial" w:hAnsi="Arial" w:cs="Arial"/>
          <w:noProof/>
          <w:color w:val="auto"/>
          <w:sz w:val="22"/>
          <w:szCs w:val="22"/>
        </w:rPr>
        <w:t xml:space="preserve"> Physical mixture of Pt-based catalyst and Mo-doped </w:t>
      </w:r>
      <w:r w:rsidR="001629D6" w:rsidRPr="001519D1">
        <w:rPr>
          <w:rFonts w:ascii="Arial" w:hAnsi="Arial" w:cs="Arial"/>
          <w:noProof/>
          <w:color w:val="auto"/>
          <w:sz w:val="22"/>
          <w:szCs w:val="22"/>
        </w:rPr>
        <w:t>Zr</w:t>
      </w:r>
      <w:r w:rsidRPr="001519D1">
        <w:rPr>
          <w:rFonts w:ascii="Arial" w:hAnsi="Arial" w:cs="Arial"/>
          <w:noProof/>
          <w:color w:val="auto"/>
          <w:sz w:val="22"/>
          <w:szCs w:val="22"/>
        </w:rPr>
        <w:t xml:space="preserve">Eu mixed oxide </w:t>
      </w:r>
      <w:r w:rsidR="001629D6" w:rsidRPr="001519D1">
        <w:rPr>
          <w:rFonts w:ascii="Arial" w:hAnsi="Arial" w:cs="Arial"/>
          <w:noProof/>
          <w:color w:val="auto"/>
          <w:sz w:val="22"/>
          <w:szCs w:val="22"/>
        </w:rPr>
        <w:t xml:space="preserve">as </w:t>
      </w:r>
      <w:r w:rsidRPr="001519D1">
        <w:rPr>
          <w:rFonts w:ascii="Arial" w:hAnsi="Arial" w:cs="Arial"/>
          <w:noProof/>
          <w:color w:val="auto"/>
          <w:sz w:val="22"/>
          <w:szCs w:val="22"/>
        </w:rPr>
        <w:t>proton conductor</w:t>
      </w:r>
      <w:r w:rsidR="001629D6" w:rsidRPr="001519D1">
        <w:rPr>
          <w:rFonts w:ascii="Arial" w:hAnsi="Arial" w:cs="Arial"/>
          <w:noProof/>
          <w:color w:val="auto"/>
          <w:sz w:val="22"/>
          <w:szCs w:val="22"/>
        </w:rPr>
        <w:t>.</w:t>
      </w:r>
    </w:p>
    <w:p w14:paraId="280DBF53" w14:textId="77777777" w:rsidR="00194472" w:rsidRPr="001519D1" w:rsidRDefault="00194472" w:rsidP="00C25B62">
      <w:pPr>
        <w:spacing w:after="0" w:line="360" w:lineRule="auto"/>
        <w:rPr>
          <w:rFonts w:ascii="Arial" w:hAnsi="Arial" w:cs="Arial"/>
          <w:lang w:val="en-US"/>
        </w:rPr>
      </w:pPr>
    </w:p>
    <w:p w14:paraId="3831BA27" w14:textId="54CECB9D" w:rsidR="00C25B62" w:rsidRPr="001519D1" w:rsidRDefault="00194472" w:rsidP="00C25B62">
      <w:pPr>
        <w:spacing w:after="0" w:line="360" w:lineRule="auto"/>
        <w:rPr>
          <w:rFonts w:ascii="Arial" w:hAnsi="Arial" w:cs="Arial"/>
          <w:lang w:val="en-US"/>
        </w:rPr>
      </w:pPr>
      <w:r w:rsidRPr="001519D1">
        <w:rPr>
          <w:rFonts w:ascii="Arial" w:hAnsi="Arial" w:cs="Arial"/>
          <w:lang w:val="en-US"/>
        </w:rPr>
        <w:t xml:space="preserve">It is also noticeable </w:t>
      </w:r>
      <w:r w:rsidR="009F3445" w:rsidRPr="001519D1">
        <w:rPr>
          <w:rFonts w:ascii="Arial" w:hAnsi="Arial" w:cs="Arial"/>
          <w:lang w:val="en-US"/>
        </w:rPr>
        <w:t xml:space="preserve">(figure 2) </w:t>
      </w:r>
      <w:r w:rsidRPr="001519D1">
        <w:rPr>
          <w:rFonts w:ascii="Arial" w:hAnsi="Arial" w:cs="Arial"/>
          <w:lang w:val="en-US"/>
        </w:rPr>
        <w:t>a deviation of the CO conversion level at values below 20 % (below 250 ºC), mainly in model conditions. This can be explained by high CO capture in the high porosity of the samples, since no CO</w:t>
      </w:r>
      <w:r w:rsidRPr="001519D1">
        <w:rPr>
          <w:rFonts w:ascii="Arial" w:hAnsi="Arial" w:cs="Arial"/>
          <w:vertAlign w:val="subscript"/>
          <w:lang w:val="en-US"/>
        </w:rPr>
        <w:t>2</w:t>
      </w:r>
      <w:r w:rsidRPr="001519D1">
        <w:rPr>
          <w:rFonts w:ascii="Arial" w:hAnsi="Arial" w:cs="Arial"/>
          <w:lang w:val="en-US"/>
        </w:rPr>
        <w:t xml:space="preserve"> was detected at the outlet yet and carbon balance was inaccurate at these temperatures. Hence, the apparent conversion is based on CO calculation, but negligible considering carbon calance and CO</w:t>
      </w:r>
      <w:r w:rsidRPr="001519D1">
        <w:rPr>
          <w:rFonts w:ascii="Arial" w:hAnsi="Arial" w:cs="Arial"/>
          <w:vertAlign w:val="subscript"/>
          <w:lang w:val="en-US"/>
        </w:rPr>
        <w:t>2</w:t>
      </w:r>
      <w:r w:rsidRPr="001519D1">
        <w:rPr>
          <w:rFonts w:ascii="Arial" w:hAnsi="Arial" w:cs="Arial"/>
          <w:lang w:val="en-US"/>
        </w:rPr>
        <w:t xml:space="preserve"> production. Besides, at these low conversion levels, also the measured error is important (around 5 %). On the contrary, this apparent CO conversion is not observed on ZrEuMo_5 sample. According to its highest level to adsorb water (see section 3.2), pores in ZrEuMo are supposed to be easily full of H</w:t>
      </w:r>
      <w:r w:rsidRPr="001519D1">
        <w:rPr>
          <w:rFonts w:ascii="Arial" w:hAnsi="Arial" w:cs="Arial"/>
          <w:vertAlign w:val="subscript"/>
          <w:lang w:val="en-US"/>
        </w:rPr>
        <w:t>2</w:t>
      </w:r>
      <w:r w:rsidRPr="001519D1">
        <w:rPr>
          <w:rFonts w:ascii="Arial" w:hAnsi="Arial" w:cs="Arial"/>
          <w:lang w:val="en-US"/>
        </w:rPr>
        <w:t xml:space="preserve">O molecules rather than CO. </w:t>
      </w:r>
      <w:r w:rsidR="00C25B62" w:rsidRPr="001519D1">
        <w:rPr>
          <w:rFonts w:ascii="Arial" w:hAnsi="Arial" w:cs="Arial"/>
          <w:lang w:val="en-US"/>
        </w:rPr>
        <w:t xml:space="preserve">However, no clear effect on molybdenum addition is observed. Similar activities are achieved on increasing the Mo content. Therefore, in order to understand the Mo role in this proton conductor </w:t>
      </w:r>
      <w:r w:rsidR="00DD104F" w:rsidRPr="001519D1">
        <w:rPr>
          <w:rFonts w:ascii="Arial" w:hAnsi="Arial" w:cs="Arial"/>
          <w:lang w:val="en-US"/>
        </w:rPr>
        <w:t xml:space="preserve">comprehensive </w:t>
      </w:r>
      <w:r w:rsidR="00C25B62" w:rsidRPr="001519D1">
        <w:rPr>
          <w:rFonts w:ascii="Arial" w:hAnsi="Arial" w:cs="Arial"/>
          <w:lang w:val="en-US"/>
        </w:rPr>
        <w:t xml:space="preserve">characterization tests </w:t>
      </w:r>
      <w:r w:rsidR="00DD104F" w:rsidRPr="001519D1">
        <w:rPr>
          <w:rFonts w:ascii="Arial" w:hAnsi="Arial" w:cs="Arial"/>
          <w:lang w:val="en-US"/>
        </w:rPr>
        <w:t>were conducted</w:t>
      </w:r>
      <w:r w:rsidR="002C1AB7" w:rsidRPr="001519D1">
        <w:rPr>
          <w:rFonts w:ascii="Arial" w:hAnsi="Arial" w:cs="Arial"/>
          <w:lang w:val="en-US"/>
        </w:rPr>
        <w:t xml:space="preserve"> and</w:t>
      </w:r>
      <w:r w:rsidR="00DD104F" w:rsidRPr="001519D1">
        <w:rPr>
          <w:rFonts w:ascii="Arial" w:hAnsi="Arial" w:cs="Arial"/>
          <w:lang w:val="en-US"/>
        </w:rPr>
        <w:t xml:space="preserve"> described</w:t>
      </w:r>
      <w:r w:rsidR="00C25B62" w:rsidRPr="001519D1">
        <w:rPr>
          <w:rFonts w:ascii="Arial" w:hAnsi="Arial" w:cs="Arial"/>
          <w:lang w:val="en-US"/>
        </w:rPr>
        <w:t xml:space="preserve"> in the next section. Accordingly, the similar effect obtained for all Mo-doped samples may be due to both Mo-contained samples present the same molybdates phases from the lowest loading, which could mean a similar capacity of adsorbing water and proton-exchanging for both samples (see </w:t>
      </w:r>
      <w:r w:rsidR="00F057CE" w:rsidRPr="001519D1">
        <w:rPr>
          <w:rFonts w:ascii="Arial" w:hAnsi="Arial" w:cs="Arial"/>
          <w:lang w:val="en-US"/>
        </w:rPr>
        <w:t xml:space="preserve">section </w:t>
      </w:r>
      <w:r w:rsidR="00C25B62" w:rsidRPr="001519D1">
        <w:rPr>
          <w:rFonts w:ascii="Arial" w:hAnsi="Arial" w:cs="Arial"/>
          <w:lang w:val="en-US"/>
        </w:rPr>
        <w:t xml:space="preserve">3.2), implying thereby similar catalytic </w:t>
      </w:r>
      <w:r w:rsidR="00C25B62" w:rsidRPr="001519D1">
        <w:rPr>
          <w:rFonts w:ascii="Arial" w:hAnsi="Arial" w:cs="Arial"/>
          <w:lang w:val="en-US"/>
        </w:rPr>
        <w:lastRenderedPageBreak/>
        <w:t>effect. Therefore, considering the lowest amount of Mo and the acceleration observed for PtCeAl + ZrEuMo_5 sample in industrial conditions at higher temperatures, this sample is also used for the catalytic test on structured catalysts.</w:t>
      </w:r>
    </w:p>
    <w:p w14:paraId="246A3DEE" w14:textId="77777777" w:rsidR="00673865" w:rsidRPr="001519D1" w:rsidRDefault="00673865" w:rsidP="00C25B62">
      <w:pPr>
        <w:spacing w:after="0" w:line="360" w:lineRule="auto"/>
        <w:rPr>
          <w:rFonts w:ascii="Arial" w:hAnsi="Arial" w:cs="Arial"/>
          <w:lang w:val="en-US"/>
        </w:rPr>
      </w:pPr>
    </w:p>
    <w:p w14:paraId="66BF4D4C" w14:textId="6FBB4538" w:rsidR="00C25B62" w:rsidRPr="001519D1" w:rsidRDefault="00C25B62" w:rsidP="00C25B62">
      <w:pPr>
        <w:spacing w:after="0" w:line="360" w:lineRule="auto"/>
        <w:rPr>
          <w:rFonts w:ascii="Arial" w:hAnsi="Arial" w:cs="Arial"/>
          <w:lang w:val="en-US"/>
        </w:rPr>
      </w:pPr>
      <w:r w:rsidRPr="001519D1">
        <w:rPr>
          <w:rFonts w:ascii="Arial" w:hAnsi="Arial" w:cs="Arial"/>
          <w:lang w:val="en-US"/>
        </w:rPr>
        <w:t>In the same way, the structured catalysts over metallic micromonoltih in model conditions (Figure 3a) and industrial conditions (Figure 3b) again exhibit higher conversion on the promoted catalyst. This effect exhibits again the role of the ionic conductor, which neither depends on the mechanism, catalyst, feed conditions nor powdered or structured systems. As observed below in monolithic sample analysis (</w:t>
      </w:r>
      <w:r w:rsidR="00F057CE" w:rsidRPr="001519D1">
        <w:rPr>
          <w:rFonts w:ascii="Arial" w:hAnsi="Arial" w:cs="Arial"/>
          <w:lang w:val="en-US"/>
        </w:rPr>
        <w:t xml:space="preserve">section </w:t>
      </w:r>
      <w:r w:rsidRPr="001519D1">
        <w:rPr>
          <w:rFonts w:ascii="Arial" w:hAnsi="Arial" w:cs="Arial"/>
          <w:lang w:val="en-US"/>
        </w:rPr>
        <w:t>3.3), this structured system with catalytic layers below 20 µm allows to discard mass transfer limitations. Moreover, these metallic monoliths have also shown isothermal conditions measured during WGS reaction kinetic study</w:t>
      </w:r>
      <w:r w:rsidR="000B1F92" w:rsidRPr="001519D1">
        <w:rPr>
          <w:rFonts w:ascii="Arial" w:hAnsi="Arial" w:cs="Arial"/>
          <w:lang w:val="en-US"/>
        </w:rPr>
        <w:t xml:space="preserve"> </w:t>
      </w:r>
      <w:r w:rsidR="000B1F92"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"10.3390/catal8120594", "ISSN" : "2073-4344", "abstract" : "A kinetic study of the water gas shift (WGS) reaction has been carried out on a Pt-based catalyst promoted by a Zr-based proton conductor. The investigation was first performed on powders with diluted feed mixtures and then extended to more severe and representative conditions by using a catalyst coated metallic micromonolith. Temperature measurements reveal that isothermal conditions were obtained along the micromonolith during the tested conditions. In addition, the very thin catalytic layer allows for the discarding of intraporous resistances, providing excellent conditions to analyse the kinetics of the WGS reaction under the integral regime. The proposed rate expression accounts for independence on CO concentration, an inhibiting effect of H2 and a promoting effect of H2O; kinetic orders on CO and H2 are in line with those reported in the literature for the Pt-based catalyst. Instead, the obtained reaction order of water (0.36) is significantly lower than that reported for unpromoted catalysts (typically 0.77\u20131.10) in good agreement with the proposed water-enhancer effect of the proton conductor on the rate-limiting step. Metallic micromonoliths turn out to be a powerful tool for the kinetic investigation, due to the absence of mass and heat transport limitations and represent a strategy for the intensification of the WGS unit for future applications of fuel processors in small mobile devices.", "author" : [ { "dropping-particle" : "", "family" : "Garc\u00eda-Moncada", "given" : "Nuria", "non-dropping-particle" : "", "parse-names" : false, "suffix" : "" }, { "dropping-particle" : "", "family" : "Groppi", "given" : "Gianpiero", "non-dropping-particle" : "", "parse-names" : false, "suffix" : "" }, { "dropping-particle" : "", "family" : "Beretta", "given" : "Alessandra", "non-dropping-particle" : "", "parse-names" : false, "suffix" : "" }, { "dropping-particle" : "", "family" : "Romero-Sarria", "given" : "Francisca", "non-dropping-particle" : "", "parse-names" : false, "suffix" : "" }, { "dropping-particle" : "", "family" : "Odriozola", "given" : "Jos\u00e9 Antonio", "non-dropping-particle" : "", "parse-names" : false, "suffix" : "" } ], "container-title" : "Catalysts", "id" : "ITEM-1", "issue" : "12", "issued" : { "date-parts" : [ [ "2018" ] ] }, "page" : "594", "title" : "Metal Micro-Monoliths for the Kinetic Study and the Intensification of the Water Gas Shift Reaction", "type" : "article-journal", "volume" : "8" }, "uris" : [ "http://www.mendeley.com/documents/?uuid=d2e1607a-550c-4877-8ff6-f571774e36f9" ] } ], "mendeley" : { "formattedCitation" : "[37]", "plainTextFormattedCitation" : "[37]", "previouslyFormattedCitation" : "[37]" }, "properties" : { "noteIndex" : 0 }, "schema" : "https://github.com/citation-style-language/schema/raw/master/csl-citation.json" }</w:instrText>
      </w:r>
      <w:r w:rsidR="000B1F92" w:rsidRPr="001519D1">
        <w:rPr>
          <w:rFonts w:ascii="Arial" w:hAnsi="Arial" w:cs="Arial"/>
          <w:lang w:val="en-US"/>
        </w:rPr>
        <w:fldChar w:fldCharType="separate"/>
      </w:r>
      <w:r w:rsidR="00C76F86" w:rsidRPr="001519D1">
        <w:rPr>
          <w:rFonts w:ascii="Arial" w:hAnsi="Arial" w:cs="Arial"/>
          <w:noProof/>
          <w:lang w:val="en-US"/>
        </w:rPr>
        <w:t>[37]</w:t>
      </w:r>
      <w:r w:rsidR="000B1F92" w:rsidRPr="001519D1">
        <w:rPr>
          <w:rFonts w:ascii="Arial" w:hAnsi="Arial" w:cs="Arial"/>
          <w:lang w:val="en-US"/>
        </w:rPr>
        <w:fldChar w:fldCharType="end"/>
      </w:r>
      <w:r w:rsidR="000B1F92" w:rsidRPr="001519D1">
        <w:rPr>
          <w:rFonts w:ascii="Arial" w:hAnsi="Arial" w:cs="Arial"/>
          <w:lang w:val="en-US"/>
        </w:rPr>
        <w:t>.</w:t>
      </w:r>
      <w:r w:rsidRPr="001519D1">
        <w:rPr>
          <w:rFonts w:ascii="Arial" w:hAnsi="Arial" w:cs="Arial"/>
          <w:lang w:val="en-US"/>
        </w:rPr>
        <w:t xml:space="preserve"> Hence, thermal or diluent effects can be discard</w:t>
      </w:r>
      <w:r w:rsidR="00DD104F" w:rsidRPr="001519D1">
        <w:rPr>
          <w:rFonts w:ascii="Arial" w:hAnsi="Arial" w:cs="Arial"/>
          <w:lang w:val="en-US"/>
        </w:rPr>
        <w:t>ed</w:t>
      </w:r>
      <w:r w:rsidRPr="001519D1">
        <w:rPr>
          <w:rFonts w:ascii="Arial" w:hAnsi="Arial" w:cs="Arial"/>
          <w:lang w:val="en-US"/>
        </w:rPr>
        <w:t xml:space="preserve"> by the added material, evincing the promoting effect is due to proton conductivity. It is also highlighted the more significant influence of the mixed oxide for the structured system in industrial conditions. As discussed below in the characterization section and considering no diffusion problems, this effect may be related to such amount of H</w:t>
      </w:r>
      <w:r w:rsidRPr="001519D1">
        <w:rPr>
          <w:rFonts w:ascii="Arial" w:hAnsi="Arial" w:cs="Arial"/>
          <w:vertAlign w:val="subscript"/>
          <w:lang w:val="en-US"/>
        </w:rPr>
        <w:t>2</w:t>
      </w:r>
      <w:r w:rsidRPr="001519D1">
        <w:rPr>
          <w:rFonts w:ascii="Arial" w:hAnsi="Arial" w:cs="Arial"/>
          <w:lang w:val="en-US"/>
        </w:rPr>
        <w:t xml:space="preserve"> in better contact with the ZrEuMo_5 sample by structured sample. Thus, the Mo oxide in the surface creates hydrated bronzes from 300 ºC, as is shown below in TPR analysis, which increases the adsorbed water on the surface involved in the reaction mechanism. Therefore, the presence of the Mo provides more adsorbed water, even </w:t>
      </w:r>
      <w:r w:rsidR="00DD104F" w:rsidRPr="001519D1">
        <w:rPr>
          <w:rFonts w:ascii="Arial" w:hAnsi="Arial" w:cs="Arial"/>
          <w:lang w:val="en-US"/>
        </w:rPr>
        <w:t xml:space="preserve">at </w:t>
      </w:r>
      <w:r w:rsidRPr="001519D1">
        <w:rPr>
          <w:rFonts w:ascii="Arial" w:hAnsi="Arial" w:cs="Arial"/>
          <w:lang w:val="en-US"/>
        </w:rPr>
        <w:t>higher temperatures, meaning high water-enhancement promoter effect.</w:t>
      </w:r>
    </w:p>
    <w:p w14:paraId="06E11D0E" w14:textId="77777777" w:rsidR="00F057CE" w:rsidRPr="001519D1" w:rsidRDefault="00F057CE" w:rsidP="00C25B62">
      <w:pPr>
        <w:spacing w:after="0" w:line="360" w:lineRule="auto"/>
        <w:rPr>
          <w:rFonts w:ascii="Arial" w:hAnsi="Arial" w:cs="Arial"/>
          <w:lang w:val="en-US"/>
        </w:rPr>
      </w:pPr>
    </w:p>
    <w:p w14:paraId="5340993A" w14:textId="77777777" w:rsidR="00F057CE" w:rsidRPr="001519D1" w:rsidRDefault="00B92893" w:rsidP="00F057CE">
      <w:pPr>
        <w:keepNext/>
        <w:spacing w:after="0" w:line="360" w:lineRule="auto"/>
      </w:pPr>
      <w:r w:rsidRPr="001519D1">
        <w:rPr>
          <w:rFonts w:ascii="Arial" w:hAnsi="Arial" w:cs="Arial"/>
          <w:noProof/>
          <w:lang w:val="es-ES" w:eastAsia="es-ES"/>
        </w:rPr>
        <w:drawing>
          <wp:inline distT="0" distB="0" distL="0" distR="0" wp14:anchorId="05DA5A43" wp14:editId="24C57A28">
            <wp:extent cx="4455509" cy="22098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9008" cy="2221455"/>
                    </a:xfrm>
                    <a:prstGeom prst="rect">
                      <a:avLst/>
                    </a:prstGeom>
                    <a:noFill/>
                  </pic:spPr>
                </pic:pic>
              </a:graphicData>
            </a:graphic>
          </wp:inline>
        </w:drawing>
      </w:r>
    </w:p>
    <w:p w14:paraId="5405425C" w14:textId="31982DBB" w:rsidR="00B92893" w:rsidRPr="001519D1" w:rsidRDefault="00F057CE" w:rsidP="00F057CE">
      <w:pPr>
        <w:pStyle w:val="Descripcin"/>
        <w:rPr>
          <w:rFonts w:ascii="Arial" w:hAnsi="Arial" w:cs="Arial"/>
          <w:i w:val="0"/>
          <w:iCs w:val="0"/>
          <w:color w:val="auto"/>
          <w:sz w:val="22"/>
          <w:szCs w:val="22"/>
          <w:lang w:val="en-US"/>
        </w:rPr>
      </w:pPr>
      <w:r w:rsidRPr="001519D1">
        <w:rPr>
          <w:rFonts w:ascii="Arial" w:hAnsi="Arial" w:cs="Arial"/>
          <w:i w:val="0"/>
          <w:iCs w:val="0"/>
          <w:color w:val="auto"/>
          <w:sz w:val="22"/>
          <w:szCs w:val="22"/>
          <w:lang w:val="en-US"/>
        </w:rPr>
        <w:t xml:space="preserve">Figure </w:t>
      </w:r>
      <w:r w:rsidRPr="001519D1">
        <w:rPr>
          <w:rFonts w:ascii="Arial" w:hAnsi="Arial" w:cs="Arial"/>
          <w:i w:val="0"/>
          <w:iCs w:val="0"/>
          <w:color w:val="auto"/>
          <w:sz w:val="22"/>
          <w:szCs w:val="22"/>
        </w:rPr>
        <w:fldChar w:fldCharType="begin"/>
      </w:r>
      <w:r w:rsidRPr="001519D1">
        <w:rPr>
          <w:rFonts w:ascii="Arial" w:hAnsi="Arial" w:cs="Arial"/>
          <w:i w:val="0"/>
          <w:iCs w:val="0"/>
          <w:color w:val="auto"/>
          <w:sz w:val="22"/>
          <w:szCs w:val="22"/>
          <w:lang w:val="en-US"/>
        </w:rPr>
        <w:instrText xml:space="preserve"> SEQ Figure \* ARABIC </w:instrText>
      </w:r>
      <w:r w:rsidRPr="001519D1">
        <w:rPr>
          <w:rFonts w:ascii="Arial" w:hAnsi="Arial" w:cs="Arial"/>
          <w:i w:val="0"/>
          <w:iCs w:val="0"/>
          <w:color w:val="auto"/>
          <w:sz w:val="22"/>
          <w:szCs w:val="22"/>
        </w:rPr>
        <w:fldChar w:fldCharType="separate"/>
      </w:r>
      <w:r w:rsidR="00AB59A7" w:rsidRPr="001519D1">
        <w:rPr>
          <w:rFonts w:ascii="Arial" w:hAnsi="Arial" w:cs="Arial"/>
          <w:i w:val="0"/>
          <w:iCs w:val="0"/>
          <w:noProof/>
          <w:color w:val="auto"/>
          <w:sz w:val="22"/>
          <w:szCs w:val="22"/>
          <w:lang w:val="en-US"/>
        </w:rPr>
        <w:t>3</w:t>
      </w:r>
      <w:r w:rsidRPr="001519D1">
        <w:rPr>
          <w:rFonts w:ascii="Arial" w:hAnsi="Arial" w:cs="Arial"/>
          <w:i w:val="0"/>
          <w:iCs w:val="0"/>
          <w:color w:val="auto"/>
          <w:sz w:val="22"/>
          <w:szCs w:val="22"/>
        </w:rPr>
        <w:fldChar w:fldCharType="end"/>
      </w:r>
      <w:r w:rsidRPr="001519D1">
        <w:rPr>
          <w:rFonts w:ascii="Arial" w:hAnsi="Arial" w:cs="Arial"/>
          <w:i w:val="0"/>
          <w:iCs w:val="0"/>
          <w:color w:val="auto"/>
          <w:sz w:val="22"/>
          <w:szCs w:val="22"/>
          <w:lang w:val="en-US"/>
        </w:rPr>
        <w:t>.</w:t>
      </w:r>
      <w:r w:rsidRPr="001519D1">
        <w:rPr>
          <w:rFonts w:ascii="Arial" w:hAnsi="Arial" w:cs="Arial"/>
          <w:i w:val="0"/>
          <w:iCs w:val="0"/>
          <w:noProof/>
          <w:color w:val="auto"/>
          <w:sz w:val="22"/>
          <w:szCs w:val="22"/>
          <w:lang w:val="en-US"/>
        </w:rPr>
        <w:t xml:space="preserve"> Catalytic tests in WGS reaction on structured catalysts in model conditions (a) and in industrial conditions (b).</w:t>
      </w:r>
    </w:p>
    <w:p w14:paraId="68CFB6E2" w14:textId="77777777" w:rsidR="00C25B62" w:rsidRPr="001519D1" w:rsidRDefault="00C25B62" w:rsidP="00C25B62">
      <w:pPr>
        <w:spacing w:after="0" w:line="360" w:lineRule="auto"/>
        <w:rPr>
          <w:rFonts w:ascii="Arial" w:hAnsi="Arial" w:cs="Arial"/>
          <w:lang w:val="en-US"/>
        </w:rPr>
      </w:pPr>
    </w:p>
    <w:p w14:paraId="03A7F8C9" w14:textId="32D9B085" w:rsidR="00C25B62" w:rsidRPr="001519D1" w:rsidRDefault="00C25B62" w:rsidP="00C25B62">
      <w:pPr>
        <w:spacing w:after="0" w:line="360" w:lineRule="auto"/>
        <w:rPr>
          <w:rFonts w:ascii="Arial" w:hAnsi="Arial" w:cs="Arial"/>
          <w:b/>
          <w:bCs/>
          <w:lang w:val="en-US"/>
        </w:rPr>
      </w:pPr>
      <w:r w:rsidRPr="001519D1">
        <w:rPr>
          <w:rFonts w:ascii="Arial" w:hAnsi="Arial" w:cs="Arial"/>
          <w:b/>
          <w:bCs/>
          <w:lang w:val="en-US"/>
        </w:rPr>
        <w:t>3.2 Catalyst and ionic conductor characterization.</w:t>
      </w:r>
    </w:p>
    <w:p w14:paraId="5DFFF416" w14:textId="6CF2B68B" w:rsidR="00B92893" w:rsidRPr="001519D1" w:rsidRDefault="00C25B62" w:rsidP="00B92893">
      <w:pPr>
        <w:spacing w:after="0" w:line="360" w:lineRule="auto"/>
        <w:rPr>
          <w:rFonts w:ascii="Arial" w:hAnsi="Arial" w:cs="Arial"/>
          <w:lang w:val="en-US"/>
        </w:rPr>
      </w:pPr>
      <w:r w:rsidRPr="001519D1">
        <w:rPr>
          <w:rFonts w:ascii="Arial" w:hAnsi="Arial" w:cs="Arial"/>
          <w:lang w:val="en-US"/>
        </w:rPr>
        <w:lastRenderedPageBreak/>
        <w:t>XRD analysis of the synthesized samples shows the presence of  ɣ–Al</w:t>
      </w:r>
      <w:r w:rsidRPr="001519D1">
        <w:rPr>
          <w:rFonts w:ascii="Arial" w:hAnsi="Arial" w:cs="Arial"/>
          <w:vertAlign w:val="subscript"/>
          <w:lang w:val="en-US"/>
        </w:rPr>
        <w:t>2</w:t>
      </w:r>
      <w:r w:rsidRPr="001519D1">
        <w:rPr>
          <w:rFonts w:ascii="Arial" w:hAnsi="Arial" w:cs="Arial"/>
          <w:lang w:val="en-US"/>
        </w:rPr>
        <w:t>O</w:t>
      </w:r>
      <w:r w:rsidRPr="001519D1">
        <w:rPr>
          <w:rFonts w:ascii="Arial" w:hAnsi="Arial" w:cs="Arial"/>
          <w:vertAlign w:val="subscript"/>
          <w:lang w:val="en-US"/>
        </w:rPr>
        <w:t>3</w:t>
      </w:r>
      <w:r w:rsidRPr="001519D1">
        <w:rPr>
          <w:rFonts w:ascii="Arial" w:hAnsi="Arial" w:cs="Arial"/>
          <w:lang w:val="en-US"/>
        </w:rPr>
        <w:t xml:space="preserve"> [JCPDS: 01-077-0396] and CeO</w:t>
      </w:r>
      <w:r w:rsidRPr="001519D1">
        <w:rPr>
          <w:rFonts w:ascii="Arial" w:hAnsi="Arial" w:cs="Arial"/>
          <w:vertAlign w:val="subscript"/>
          <w:lang w:val="en-US"/>
        </w:rPr>
        <w:t>2</w:t>
      </w:r>
      <w:r w:rsidRPr="001519D1">
        <w:rPr>
          <w:rFonts w:ascii="Arial" w:hAnsi="Arial" w:cs="Arial"/>
          <w:lang w:val="en-US"/>
        </w:rPr>
        <w:t xml:space="preserve"> [JCPDS: 00-034-0394] phases for the commercial Puralox support for the PtCeAl catalyst with no detectable presence of the Pt active phase (Figure 4a). On the other side, the cubic fluorite type structure is clearly identified for the Eu</w:t>
      </w:r>
      <w:r w:rsidRPr="001519D1">
        <w:rPr>
          <w:rFonts w:ascii="Arial" w:hAnsi="Arial" w:cs="Arial"/>
          <w:vertAlign w:val="subscript"/>
          <w:lang w:val="en-US"/>
        </w:rPr>
        <w:t>y</w:t>
      </w:r>
      <w:r w:rsidRPr="001519D1">
        <w:rPr>
          <w:rFonts w:ascii="Arial" w:hAnsi="Arial" w:cs="Arial"/>
          <w:lang w:val="en-US"/>
        </w:rPr>
        <w:t>Zr</w:t>
      </w:r>
      <w:r w:rsidRPr="001519D1">
        <w:rPr>
          <w:rFonts w:ascii="Arial" w:hAnsi="Arial" w:cs="Arial"/>
          <w:vertAlign w:val="subscript"/>
          <w:lang w:val="en-US"/>
        </w:rPr>
        <w:t>1-y</w:t>
      </w:r>
      <w:r w:rsidRPr="001519D1">
        <w:rPr>
          <w:rFonts w:ascii="Arial" w:hAnsi="Arial" w:cs="Arial"/>
          <w:lang w:val="en-US"/>
        </w:rPr>
        <w:t>O</w:t>
      </w:r>
      <w:r w:rsidRPr="001519D1">
        <w:rPr>
          <w:rFonts w:ascii="Arial" w:hAnsi="Arial" w:cs="Arial"/>
          <w:vertAlign w:val="subscript"/>
          <w:lang w:val="en-US"/>
        </w:rPr>
        <w:t>2-0.5y</w:t>
      </w:r>
      <w:r w:rsidRPr="001519D1">
        <w:rPr>
          <w:rFonts w:ascii="Arial" w:hAnsi="Arial" w:cs="Arial"/>
          <w:lang w:val="en-US"/>
        </w:rPr>
        <w:t xml:space="preserve"> solid solution [JCPDS: 01-078-1303] corresponding to an amount of Eu dopant of 5 mol.% of Eu</w:t>
      </w:r>
      <w:r w:rsidRPr="001519D1">
        <w:rPr>
          <w:rFonts w:ascii="Arial" w:hAnsi="Arial" w:cs="Arial"/>
          <w:vertAlign w:val="subscript"/>
          <w:lang w:val="en-US"/>
        </w:rPr>
        <w:t>2</w:t>
      </w:r>
      <w:r w:rsidRPr="001519D1">
        <w:rPr>
          <w:rFonts w:ascii="Arial" w:hAnsi="Arial" w:cs="Arial"/>
          <w:lang w:val="en-US"/>
        </w:rPr>
        <w:t>O</w:t>
      </w:r>
      <w:r w:rsidRPr="001519D1">
        <w:rPr>
          <w:rFonts w:ascii="Arial" w:hAnsi="Arial" w:cs="Arial"/>
          <w:vertAlign w:val="subscript"/>
          <w:lang w:val="en-US"/>
        </w:rPr>
        <w:t>3</w:t>
      </w:r>
      <w:r w:rsidRPr="001519D1">
        <w:rPr>
          <w:rFonts w:ascii="Arial" w:hAnsi="Arial" w:cs="Arial"/>
          <w:lang w:val="en-US"/>
        </w:rPr>
        <w:t xml:space="preserve"> (y</w:t>
      </w:r>
      <w:r w:rsidRPr="001519D1">
        <w:rPr>
          <w:rFonts w:ascii="Cambria Math" w:hAnsi="Cambria Math" w:cs="Cambria Math"/>
          <w:lang w:val="en-US"/>
        </w:rPr>
        <w:t>≅</w:t>
      </w:r>
      <w:r w:rsidRPr="001519D1">
        <w:rPr>
          <w:rFonts w:ascii="Arial" w:hAnsi="Arial" w:cs="Arial"/>
          <w:lang w:val="en-US"/>
        </w:rPr>
        <w:t xml:space="preserve"> 0.1) (Figure 4b). The diffractograms of the Mo-doped Eu</w:t>
      </w:r>
      <w:r w:rsidRPr="001519D1">
        <w:rPr>
          <w:rFonts w:ascii="Arial" w:hAnsi="Arial" w:cs="Arial"/>
          <w:vertAlign w:val="subscript"/>
          <w:lang w:val="en-US"/>
        </w:rPr>
        <w:t>y</w:t>
      </w:r>
      <w:r w:rsidRPr="001519D1">
        <w:rPr>
          <w:rFonts w:ascii="Arial" w:hAnsi="Arial" w:cs="Arial"/>
          <w:lang w:val="en-US"/>
        </w:rPr>
        <w:t>Zr</w:t>
      </w:r>
      <w:r w:rsidRPr="001519D1">
        <w:rPr>
          <w:rFonts w:ascii="Arial" w:hAnsi="Arial" w:cs="Arial"/>
          <w:vertAlign w:val="subscript"/>
          <w:lang w:val="en-US"/>
        </w:rPr>
        <w:t>1-y</w:t>
      </w:r>
      <w:r w:rsidRPr="001519D1">
        <w:rPr>
          <w:rFonts w:ascii="Arial" w:hAnsi="Arial" w:cs="Arial"/>
          <w:lang w:val="en-US"/>
        </w:rPr>
        <w:t>O</w:t>
      </w:r>
      <w:r w:rsidRPr="001519D1">
        <w:rPr>
          <w:rFonts w:ascii="Arial" w:hAnsi="Arial" w:cs="Arial"/>
          <w:vertAlign w:val="subscript"/>
          <w:lang w:val="en-US"/>
        </w:rPr>
        <w:t>2-0.5y</w:t>
      </w:r>
      <w:r w:rsidRPr="001519D1">
        <w:rPr>
          <w:rFonts w:ascii="Arial" w:hAnsi="Arial" w:cs="Arial"/>
          <w:lang w:val="en-US"/>
        </w:rPr>
        <w:t xml:space="preserve"> solid solution are plotted together with the previously reported XRD pattern of the bare Eu-doped zircona (5 mol.% of Eu</w:t>
      </w:r>
      <w:r w:rsidRPr="001519D1">
        <w:rPr>
          <w:rFonts w:ascii="Arial" w:hAnsi="Arial" w:cs="Arial"/>
          <w:vertAlign w:val="subscript"/>
          <w:lang w:val="en-US"/>
        </w:rPr>
        <w:t>2</w:t>
      </w:r>
      <w:r w:rsidRPr="001519D1">
        <w:rPr>
          <w:rFonts w:ascii="Arial" w:hAnsi="Arial" w:cs="Arial"/>
          <w:lang w:val="en-US"/>
        </w:rPr>
        <w:t>O</w:t>
      </w:r>
      <w:r w:rsidRPr="001519D1">
        <w:rPr>
          <w:rFonts w:ascii="Arial" w:hAnsi="Arial" w:cs="Arial"/>
          <w:vertAlign w:val="subscript"/>
          <w:lang w:val="en-US"/>
        </w:rPr>
        <w:t>3</w:t>
      </w:r>
      <w:r w:rsidRPr="001519D1">
        <w:rPr>
          <w:rFonts w:ascii="Arial" w:hAnsi="Arial" w:cs="Arial"/>
          <w:lang w:val="en-US"/>
        </w:rPr>
        <w:t>, named ZrEu)</w:t>
      </w:r>
      <w:r w:rsidR="000B1F92" w:rsidRPr="001519D1">
        <w:rPr>
          <w:rFonts w:ascii="Arial" w:hAnsi="Arial" w:cs="Arial"/>
          <w:lang w:val="en-US"/>
        </w:rPr>
        <w:t xml:space="preserve"> </w:t>
      </w:r>
      <w:r w:rsidR="000B1F92" w:rsidRPr="001519D1">
        <w:rPr>
          <w:rFonts w:ascii="Arial" w:hAnsi="Arial" w:cs="Arial"/>
          <w:lang w:val="en-US"/>
        </w:rPr>
        <w:fldChar w:fldCharType="begin" w:fldLock="1"/>
      </w:r>
      <w:r w:rsidR="000B1F92" w:rsidRPr="001519D1">
        <w:rPr>
          <w:rFonts w:ascii="Arial" w:hAnsi="Arial" w:cs="Arial"/>
          <w:lang w:val="en-US"/>
        </w:rPr>
        <w:instrText>ADDIN CSL_CITATION { "citationItems" : [ { "id" : "ITEM-1", "itemData" : { "DOI" : "10.1016/j.apcatb.2018.03.001", "ISSN" : "09263373", "abstract" : "Eu-doped ZrO2solid solutions have been synthesized in order to prepare proton conductors as water-enhancer additives for the WGS reaction. Elemental characterization has been carried out revealing homogeneous dopant distribution resulting in fluorite-type solid solutions for Eu2O3contents up to \u223c9 mol.%. Representative samples of the Eu-doped ZrO2series have been analysed by Impedance Spectroscopy (IS) in inert, oxygen and wet conditions. The solid solution with 5 mol.% of Eu2O3has presented the highest conductivity values for all tested conditions indicating an optimal amount of dopant. Moreover, the presence of vapour pressure results in an increment of the conductivity at temperatures lower than 300 \u00b0C, meanwhile at higher temperatures the conductivity is the same than that in inert conditions. To elucidate these results, in situ DRIFTS studies were carried out. These experiments evidenced the existence of water dissociation at oxygen vacancies (band at 3724 cm\u22121) as well as the presence of physisorbed water at temperatures up to \u223c300 \u00b0C where the band at 5248 cm\u22121characteristic of these species disappeared. These results points to a layer model where the physisorbed water interacts with surface hydroxyls generated by dissociated water that improves the proton conductivity through Grotthuss\u2019 mechanism in the RT-300 \u00b0C temperature range. These samples were successfully tested in WGS reaction as additive to a typical Pt-based catalyst. The presence of the mixed oxide reveals an increase of the catalyst\u2019 activity assisted by the proton conductor, since improves the water activation step.", "author" : [ { "dropping-particle" : "", "family" : "Garc\u00eda-Moncada", "given" : "Nuria", "non-dropping-particle" : "", "parse-names" : false, "suffix" : "" }, { "dropping-particle" : "", "family" : "Bobadilla", "given" : "Luis F.", "non-dropping-particle" : "", "parse-names" : false, "suffix" : "" }, { "dropping-particle" : "", "family" : "Poyato", "given" : "Rosal\u00eda", "non-dropping-particle" : "", "parse-names" : false, "suffix" : "" }, { "dropping-particle" : "", "family" : "L\u00f3pez-Cartes", "given" : "Carlos", "non-dropping-particle" : "", "parse-names" : false, "suffix" : "" }, { "dropping-particle" : "", "family" : "Romero-Sarria", "given" : "Francisca", "non-dropping-particle" : "", "parse-names" : false, "suffix" : "" }, { "dropping-particle" : "", "family" : "Centeno", "given" : "Miguel \u00c1ngel", "non-dropping-particle" : "", "parse-names" : false, "suffix" : "" }, { "dropping-particle" : "", "family" : "Odriozola", "given" : "Jos\u00e9 Antonio", "non-dropping-particle" : "", "parse-names" : false, "suffix" : "" } ], "container-title" : "Applied Catalysis B: Environmental", "id" : "ITEM-1", "issued" : { "date-parts" : [ [ "2018" ] ] }, "page" : "343-356", "publisher" : "Elsevier", "title" : "A direct in situ observation of water-enhanced proton conductivity of Eu-doped ZrO2: Effect on WGS reaction", "type" : "article-journal", "volume" : "231" }, "uris" : [ "http://www.mendeley.com/documents/?uuid=2791e843-8b51-456b-9c4d-1590f34730e1" ] } ], "mendeley" : { "formattedCitation" : "[6]", "plainTextFormattedCitation" : "[6]", "previouslyFormattedCitation" : "[6]" }, "properties" : { "noteIndex" : 0 }, "schema" : "https://github.com/citation-style-language/schema/raw/master/csl-citation.json" }</w:instrText>
      </w:r>
      <w:r w:rsidR="000B1F92" w:rsidRPr="001519D1">
        <w:rPr>
          <w:rFonts w:ascii="Arial" w:hAnsi="Arial" w:cs="Arial"/>
          <w:lang w:val="en-US"/>
        </w:rPr>
        <w:fldChar w:fldCharType="separate"/>
      </w:r>
      <w:r w:rsidR="000B1F92" w:rsidRPr="001519D1">
        <w:rPr>
          <w:rFonts w:ascii="Arial" w:hAnsi="Arial" w:cs="Arial"/>
          <w:noProof/>
          <w:lang w:val="en-US"/>
        </w:rPr>
        <w:t>[6]</w:t>
      </w:r>
      <w:r w:rsidR="000B1F92" w:rsidRPr="001519D1">
        <w:rPr>
          <w:rFonts w:ascii="Arial" w:hAnsi="Arial" w:cs="Arial"/>
          <w:lang w:val="en-US"/>
        </w:rPr>
        <w:fldChar w:fldCharType="end"/>
      </w:r>
      <w:r w:rsidR="000B1F92" w:rsidRPr="001519D1">
        <w:rPr>
          <w:rFonts w:ascii="Arial" w:hAnsi="Arial" w:cs="Arial"/>
          <w:lang w:val="en-US"/>
        </w:rPr>
        <w:t>.</w:t>
      </w:r>
      <w:r w:rsidRPr="001519D1">
        <w:rPr>
          <w:rFonts w:ascii="Arial" w:hAnsi="Arial" w:cs="Arial"/>
          <w:lang w:val="en-US"/>
        </w:rPr>
        <w:t xml:space="preserve"> As it may be noticed in Figure 4b, molybdenum addition to the Eu-doped zirconium oxide does not modify the diffraction pattern of the solid solution (ZrEu sample). Neither diffraction angles nor line diffraction intensities are modified within the studied range of compositions, which implies that the Mo is not disturbing the Eu-doped ZrO</w:t>
      </w:r>
      <w:r w:rsidRPr="001519D1">
        <w:rPr>
          <w:rFonts w:ascii="Arial" w:hAnsi="Arial" w:cs="Arial"/>
          <w:vertAlign w:val="subscript"/>
          <w:lang w:val="en-US"/>
        </w:rPr>
        <w:t>2</w:t>
      </w:r>
      <w:r w:rsidRPr="001519D1">
        <w:rPr>
          <w:rFonts w:ascii="Arial" w:hAnsi="Arial" w:cs="Arial"/>
          <w:lang w:val="en-US"/>
        </w:rPr>
        <w:t xml:space="preserve"> solid solution structure. This indicates that the isomorphic substitution of either Eu or Zr in the cubic lattice by Mo atoms may be discarded. By considering the ionic radii of the involved cations, 0.84 and 0.95 Å for Zr</w:t>
      </w:r>
      <w:r w:rsidRPr="001519D1">
        <w:rPr>
          <w:rFonts w:ascii="Arial" w:hAnsi="Arial" w:cs="Arial"/>
          <w:vertAlign w:val="superscript"/>
          <w:lang w:val="en-US"/>
        </w:rPr>
        <w:t>4+</w:t>
      </w:r>
      <w:r w:rsidRPr="001519D1">
        <w:rPr>
          <w:rFonts w:ascii="Arial" w:hAnsi="Arial" w:cs="Arial"/>
          <w:lang w:val="en-US"/>
        </w:rPr>
        <w:t xml:space="preserve"> and Eu</w:t>
      </w:r>
      <w:r w:rsidRPr="001519D1">
        <w:rPr>
          <w:rFonts w:ascii="Arial" w:hAnsi="Arial" w:cs="Arial"/>
          <w:vertAlign w:val="superscript"/>
          <w:lang w:val="en-US"/>
        </w:rPr>
        <w:t>3+</w:t>
      </w:r>
      <w:r w:rsidRPr="001519D1">
        <w:rPr>
          <w:rFonts w:ascii="Arial" w:hAnsi="Arial" w:cs="Arial"/>
          <w:lang w:val="en-US"/>
        </w:rPr>
        <w:t xml:space="preserve"> cations, respectively, the formation of a solid solution is thermodynamically possible. However, these radii are meaningful higher than that of Mo(VI). The significantly smaller radius of the Mo</w:t>
      </w:r>
      <w:r w:rsidRPr="001519D1">
        <w:rPr>
          <w:rFonts w:ascii="Arial" w:hAnsi="Arial" w:cs="Arial"/>
          <w:vertAlign w:val="superscript"/>
          <w:lang w:val="en-US"/>
        </w:rPr>
        <w:t>6+</w:t>
      </w:r>
      <w:r w:rsidRPr="001519D1">
        <w:rPr>
          <w:rFonts w:ascii="Arial" w:hAnsi="Arial" w:cs="Arial"/>
          <w:lang w:val="en-US"/>
        </w:rPr>
        <w:t xml:space="preserve"> cation (0.41-0.73 Å depending on its coordination) may result in either the filling of interstitial tetrahedral holes in the zirconia lattice or in a surface segregation pinning the growth of the Eu-doped zirconia</w:t>
      </w:r>
      <w:r w:rsidR="00B92893" w:rsidRPr="001519D1">
        <w:rPr>
          <w:rFonts w:ascii="Arial" w:hAnsi="Arial" w:cs="Arial"/>
          <w:lang w:val="en-US"/>
        </w:rPr>
        <w:t xml:space="preserve"> nanoparticles. As the lattice parameter of the zirconia phase remains unaltered as well as the absence of new diffraction lines on Mo doping, it allows to discard the inclusion of the Mo cation in the zirconia lattice. If the hypothesis of a superficial Mo oxide phase is assumed, the absence of diffraction lines for MoO</w:t>
      </w:r>
      <w:r w:rsidR="00B92893" w:rsidRPr="001519D1">
        <w:rPr>
          <w:rFonts w:ascii="Arial" w:hAnsi="Arial" w:cs="Arial"/>
          <w:vertAlign w:val="subscript"/>
          <w:lang w:val="en-US"/>
        </w:rPr>
        <w:t>x</w:t>
      </w:r>
      <w:r w:rsidR="00B92893" w:rsidRPr="001519D1">
        <w:rPr>
          <w:rFonts w:ascii="Arial" w:hAnsi="Arial" w:cs="Arial"/>
          <w:lang w:val="en-US"/>
        </w:rPr>
        <w:t xml:space="preserve"> species may be expected since its loading is well below the monolayer capacity in good agreement with Chary </w:t>
      </w:r>
      <w:r w:rsidR="00B92893" w:rsidRPr="001519D1">
        <w:rPr>
          <w:rFonts w:ascii="Arial" w:hAnsi="Arial" w:cs="Arial"/>
          <w:i/>
          <w:iCs/>
          <w:lang w:val="en-US"/>
        </w:rPr>
        <w:t>et al</w:t>
      </w:r>
      <w:r w:rsidR="00B92893" w:rsidRPr="001519D1">
        <w:rPr>
          <w:rFonts w:ascii="Arial" w:hAnsi="Arial" w:cs="Arial"/>
          <w:lang w:val="en-US"/>
        </w:rPr>
        <w:t>.</w:t>
      </w:r>
      <w:r w:rsidR="000B1F92" w:rsidRPr="001519D1">
        <w:rPr>
          <w:rFonts w:ascii="Arial" w:hAnsi="Arial" w:cs="Arial"/>
          <w:lang w:val="en-US"/>
        </w:rPr>
        <w:t xml:space="preserve"> </w:t>
      </w:r>
      <w:r w:rsidR="000B1F92"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"10.1016/j.jcat.2004.04.028", "ISBN" : "9140271609", "ISSN" : "00219517", "abstract" : "MoO3/ZrO2 catalysts with different MoO3 loadings (2-12 wt%) were prepared by the wet impregnation method. These catalysts were characterized by various techniques, such as X-ray diffraction (XRD), temperature-programmed reduction (TPR), laser Raman spectroscopy (LRS), X-ray photoelectron spectroscopy (XPS), and temperature-programmed desorption of NH3 and the catalytic properties were evaluated for vapor-phase ammoxidation of toluene to benzonitrile. XRD patterns show the presence of crystalline MoO3 peaks above 6.6 wt% MoO3, which corresponds to the theoretical monolayer loading of MoO3 on the zirconia used in the present study. The TPR suggests that reduction of the catalysts occurs in two stages and indicates that the reducibility of the catalysts increases with increase in MoO3 loading up to 6.6 wt%. The acidity of the catalysts was also found to increase up to 6.6 wt% of molybdena loading and it does not increase much at higher loadings. Raman results show that the surface molybdate species are present in low-loading samples, while crystalline MoO3 bands are observed from 9 wt% of MoO3 and above loadings. XPS spectra showed that molybdenum was present at Mo 6- on all fresh samples. The Mo/Zr atomic ratio shows that the dispersion of molybdena is high below 6.6 wt% MoO3 and dispersion decreases at higher molybdena loadings. The catalytic activity of the catalysts during ammoxidation of toluene was found to increase with loading up to 6.6 wt% and did not change appreciably beyond this loading. ?? 2004 Elsevier Inc. All rights reserved.", "author" : [ { "dropping-particle" : "", "family" : "Chary", "given" : "Komandur V.R.", "non-dropping-particle" : "", "parse-names" : false, "suffix" : "" }, { "dropping-particle" : "", "family" : "Reddy", "given" : "Kondakindi Rajender", "non-dropping-particle" : "", "parse-names" : false, "suffix" : "" }, { "dropping-particle" : "", "family" : "Kishan", "given" : "Gurram", "non-dropping-particle" : "", "parse-names" : false, "suffix" : "" }, { "dropping-particle" : "", "family" : "Niemantsverdriet", "given" : "J.W.", "non-dropping-particle" : "", "parse-names" : false, "suffix" : "" }, { "dropping-particle" : "", "family" : "Mestl", "given" : "Gerhard", "non-dropping-particle" : "", "parse-names" : false, "suffix" : "" } ], "container-title" : "Journal of Catalysis", "id" : "ITEM-1", "issue" : "2", "issued" : { "date-parts" : [ [ "2004" ] ] }, "page" : "283-291", "title" : "Structure and catalytic properties of molybdenum oxide catalysts supported on zirconia", "type" : "article-journal", "volume" : "226" }, "uris" : [ "http://www.mendeley.com/documents/?uuid=6b6bc34f-65ab-466d-bf4e-252a0df3266e" ] } ], "mendeley" : { "formattedCitation" : "[42]", "plainTextFormattedCitation" : "[42]", "previouslyFormattedCitation" : "[42]" }, "properties" : { "noteIndex" : 0 }, "schema" : "https://github.com/citation-style-language/schema/raw/master/csl-citation.json" }</w:instrText>
      </w:r>
      <w:r w:rsidR="000B1F92" w:rsidRPr="001519D1">
        <w:rPr>
          <w:rFonts w:ascii="Arial" w:hAnsi="Arial" w:cs="Arial"/>
          <w:lang w:val="en-US"/>
        </w:rPr>
        <w:fldChar w:fldCharType="separate"/>
      </w:r>
      <w:r w:rsidR="00C76F86" w:rsidRPr="001519D1">
        <w:rPr>
          <w:rFonts w:ascii="Arial" w:hAnsi="Arial" w:cs="Arial"/>
          <w:noProof/>
          <w:lang w:val="en-US"/>
        </w:rPr>
        <w:t>[42]</w:t>
      </w:r>
      <w:r w:rsidR="000B1F92" w:rsidRPr="001519D1">
        <w:rPr>
          <w:rFonts w:ascii="Arial" w:hAnsi="Arial" w:cs="Arial"/>
          <w:lang w:val="en-US"/>
        </w:rPr>
        <w:fldChar w:fldCharType="end"/>
      </w:r>
      <w:r w:rsidR="000B1F92" w:rsidRPr="001519D1">
        <w:rPr>
          <w:rFonts w:ascii="Arial" w:hAnsi="Arial" w:cs="Arial"/>
          <w:lang w:val="en-US"/>
        </w:rPr>
        <w:t>.</w:t>
      </w:r>
      <w:r w:rsidR="00B92893" w:rsidRPr="001519D1">
        <w:rPr>
          <w:rFonts w:ascii="Arial" w:hAnsi="Arial" w:cs="Arial"/>
          <w:lang w:val="en-US"/>
        </w:rPr>
        <w:t xml:space="preserve"> Moreover, it was early shown that adding oxoanions to zirconia stabilizes its surface</w:t>
      </w:r>
      <w:r w:rsidR="000B1F92" w:rsidRPr="001519D1">
        <w:rPr>
          <w:rFonts w:ascii="Arial" w:hAnsi="Arial" w:cs="Arial"/>
          <w:lang w:val="en-US"/>
        </w:rPr>
        <w:t xml:space="preserve"> </w:t>
      </w:r>
      <w:r w:rsidR="000B1F92"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"10.1016/S0254-0584(97)80056-9", "ISSN" : "02540584", "abstract" : "Sintering of differently prepared MoO3/ZrO2 supported systems and solid-solid wetting (SSW) in the mixtures of these oxides upon their heating was studied. It has been shown that metastable 'monolayer' coverage of zirconia surface by polymeric molybdate species exists. It contains about 5 Mo atoms per nm2 of surface and shows Mo/ZrXPS ratio of 0.13-0.15. The 'monolayer' coverage can be obtained either from sintering of high surface area dispersions, or from heating of mixtures of bulk oxides owing to SSW phenomenon. Formation of this metastable structure provides a linear proportionality between the surface area and Mo content for the samples calcined at 800 \u00b0C, below 12 wt.% of MoO3 loading, whatever the preparation method and initial surface area. Since the 'monolayer' dispersion can be formed by SSW mechanism, the thermal stability of zirconia surface area can be increased just by mixing with a small amount of bulk MoO3. Qualitative thermodynamic discussion of the observed effect is presented.", "author" : [ { "dropping-particle" : "", "family" : "Afanasiev", "given" : "P.", "non-dropping-particle" : "", "parse-names" : false, "suffix" : "" } ], "container-title" : "Materials Chemistry and Physics", "id" : "ITEM-1", "issue" : "2-3", "issued" : { "date-parts" : [ [ "1997" ] ] }, "page" : "231-238", "title" : "On the metastability of 'monolayer coverage' in the MoO3/ZrO2 dispersions", "type" : "article-journal", "volume" : "47" }, "uris" : [ "http://www.mendeley.com/documents/?uuid=f9b9f0cf-84ff-4bba-bf5d-b217e864cae6" ] } ], "mendeley" : { "formattedCitation" : "[43]", "plainTextFormattedCitation" : "[43]", "previouslyFormattedCitation" : "[43]" }, "properties" : { "noteIndex" : 0 }, "schema" : "https://github.com/citation-style-language/schema/raw/master/csl-citation.json" }</w:instrText>
      </w:r>
      <w:r w:rsidR="000B1F92" w:rsidRPr="001519D1">
        <w:rPr>
          <w:rFonts w:ascii="Arial" w:hAnsi="Arial" w:cs="Arial"/>
          <w:lang w:val="en-US"/>
        </w:rPr>
        <w:fldChar w:fldCharType="separate"/>
      </w:r>
      <w:r w:rsidR="00C76F86" w:rsidRPr="001519D1">
        <w:rPr>
          <w:rFonts w:ascii="Arial" w:hAnsi="Arial" w:cs="Arial"/>
          <w:noProof/>
          <w:lang w:val="en-US"/>
        </w:rPr>
        <w:t>[43]</w:t>
      </w:r>
      <w:r w:rsidR="000B1F92" w:rsidRPr="001519D1">
        <w:rPr>
          <w:rFonts w:ascii="Arial" w:hAnsi="Arial" w:cs="Arial"/>
          <w:lang w:val="en-US"/>
        </w:rPr>
        <w:fldChar w:fldCharType="end"/>
      </w:r>
      <w:r w:rsidR="000B1F92" w:rsidRPr="001519D1">
        <w:rPr>
          <w:rFonts w:ascii="Arial" w:hAnsi="Arial" w:cs="Arial"/>
          <w:lang w:val="en-US"/>
        </w:rPr>
        <w:t>,</w:t>
      </w:r>
      <w:r w:rsidR="00B92893" w:rsidRPr="001519D1">
        <w:rPr>
          <w:rFonts w:ascii="Arial" w:hAnsi="Arial" w:cs="Arial"/>
          <w:lang w:val="en-US"/>
        </w:rPr>
        <w:t xml:space="preserve"> among them, oxoanions of transition metals in their highest oxidation state (e.g. Cr, W and Mo)</w:t>
      </w:r>
      <w:r w:rsidR="000B1F92" w:rsidRPr="001519D1">
        <w:rPr>
          <w:rFonts w:ascii="Arial" w:hAnsi="Arial" w:cs="Arial"/>
          <w:lang w:val="en-US"/>
        </w:rPr>
        <w:t xml:space="preserve"> </w:t>
      </w:r>
      <w:r w:rsidR="000B1F92"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"10.1039/FT9949000193", "ISSN" : "09565000", "abstract" : "Zirconia-supported Mo and W oxides have been prepared by three methods: a conventional impregnation technique, a molten salt method and calcination of zirconium hydroxide impregnated with Mo(W) salt. The state of the Mo(W) and the acidity of the solids were studied, versus Mo(W) loading and calcination temperature. It has been shown that superficial acidity depends strongly on the preparation method used. Among the systems studied, solids prepared by calcination of impregnated zirconium hydroxide manifested the strongest Lewis and Bronsted acidity. The latter was, however, lower than the acidity of sulfated zirconias, as revealed by catalytic tests. A model of the structure of the acidic centres was proposed.", "author" : [ { "dropping-particle" : "", "family" : "Afanasiev", "given" : "Pavel", "non-dropping-particle" : "", "parse-names" : false, "suffix" : "" }, { "dropping-particle" : "", "family" : "Geantet", "given" : "Christophe", "non-dropping-particle" : "", "parse-names" : false, "suffix" : "" }, { "dropping-particle" : "", "family" : "Breysse", "given" : "Mich\u00e8le", "non-dropping-particle" : "", "parse-names" : false, "suffix" : "" }, { "dropping-particle" : "", "family" : "Coudurier", "given" : "Gis\u00e8le", "non-dropping-particle" : "", "parse-names" : false, "suffix" : "" }, { "dropping-particle" : "", "family" : "Vedrine", "given" : "Jacques C.", "non-dropping-particle" : "", "parse-names" : false, "suffix" : "" } ], "container-title" : "Journal Of The Chemical Society-Faraday Transactions", "id" : "ITEM-1", "issue" : "1", "issued" : { "date-parts" : [ [ "1994" ] ] }, "page" : "193-202", "title" : "Influence of Preparation Method on the Acidity of MoO3(WO3)/ZrO2 Catalysts", "type" : "article-journal", "volume" : "90" }, "uris" : [ "http://www.mendeley.com/documents/?uuid=fad61b5b-fdfa-4dd6-be41-d3f380828a3c" ] }, { "id" : "ITEM-2", "itemData" : { "DOI" : "10.1021/cm00031a014", "ISBN" : "0897-4756", "ISSN" : "15205002", "abstract" : "Zirconia (ZrO2) aerogels were prepared by the sol-gel method using zirconium n-propoxide in n-propanol followed by supercritical drying with carbon dioxide. This synthesis, without the use of dopants, formed a high surface area material and stabilized the tetragonal phase at low temperatures. By optimizing the water and nitric acid amounts, we formed a zirconia aerogel with a surface area of ca. 130 M2/g after calcination 773 K for 2 h. The effect of heat treatment on the physical characteristics of the aerogel was determined by nitrogen adsorption, X-ray diffraction, Raman spectroscopy, electron microscopy, and differential thermal analysis. The untreated, highly porous, amorphous aerogel decreased in surface area and pore volume upon heating. By variation of the heat treatment, the zirconia aerogel existed in either a completely amorphous, tetragonal, or monoclinic form at room temperature. In situ X-ray diffraction measurements were used to examine the tetragonal-to-monoclinic phase transformation, which was controlled by embryo formation and growth and was not a simple function of crystallite size. Finally, the time required for gel formation controlled the type of oxide network formed, which in turn dictated the physical characteristics of the aerogel and the number of defects for embryo formation.", "author" : [ { "dropping-particle" : "", "family" : "Ward", "given" : "David A.", "non-dropping-particle" : "", "parse-names" : false, "suffix" : "" }, { "dropping-particle" : "", "family" : "Ko", "given" : "Edmond I.", "non-dropping-particle" : "", "parse-names" : false, "suffix" : "" } ], "container-title" : "Chemistry of Materials", "id" : "ITEM-2", "issue" : "7", "issued" : { "date-parts" : [ [ "1993" ] ] }, "page" : "956-969", "title" : "Synthesis and Structural Transformation of Zirconia Aerogels", "type" : "article-journal", "volume" : "5" }, "uris" : [ "http://www.mendeley.com/documents/?uuid=3ade1cd7-6da7-432a-b3d0-3a5d2b98abdb" ] } ], "mendeley" : { "formattedCitation" : "[44,45]", "plainTextFormattedCitation" : "[44,45]", "previouslyFormattedCitation" : "[44,45]" }, "properties" : { "noteIndex" : 0 }, "schema" : "https://github.com/citation-style-language/schema/raw/master/csl-citation.json" }</w:instrText>
      </w:r>
      <w:r w:rsidR="000B1F92" w:rsidRPr="001519D1">
        <w:rPr>
          <w:rFonts w:ascii="Arial" w:hAnsi="Arial" w:cs="Arial"/>
          <w:lang w:val="en-US"/>
        </w:rPr>
        <w:fldChar w:fldCharType="separate"/>
      </w:r>
      <w:r w:rsidR="00C76F86" w:rsidRPr="001519D1">
        <w:rPr>
          <w:rFonts w:ascii="Arial" w:hAnsi="Arial" w:cs="Arial"/>
          <w:noProof/>
          <w:lang w:val="en-US"/>
        </w:rPr>
        <w:t>[44,45]</w:t>
      </w:r>
      <w:r w:rsidR="000B1F92" w:rsidRPr="001519D1">
        <w:rPr>
          <w:rFonts w:ascii="Arial" w:hAnsi="Arial" w:cs="Arial"/>
          <w:lang w:val="en-US"/>
        </w:rPr>
        <w:fldChar w:fldCharType="end"/>
      </w:r>
      <w:r w:rsidR="000B1F92" w:rsidRPr="001519D1">
        <w:rPr>
          <w:rFonts w:ascii="Arial" w:hAnsi="Arial" w:cs="Arial"/>
          <w:lang w:val="en-US"/>
        </w:rPr>
        <w:t>.</w:t>
      </w:r>
      <w:r w:rsidR="00B92893" w:rsidRPr="001519D1">
        <w:rPr>
          <w:rFonts w:ascii="Arial" w:hAnsi="Arial" w:cs="Arial"/>
          <w:lang w:val="en-US"/>
        </w:rPr>
        <w:t xml:space="preserve"> Adding molybdates to wet gels, like these samples, the surface tension is modified and the porous structure of the gel is preserved. Therefore, it is concluded that on adding Mo to ZrO</w:t>
      </w:r>
      <w:r w:rsidR="00B92893" w:rsidRPr="001519D1">
        <w:rPr>
          <w:rFonts w:ascii="Arial" w:hAnsi="Arial" w:cs="Arial"/>
          <w:vertAlign w:val="subscript"/>
          <w:lang w:val="en-US"/>
        </w:rPr>
        <w:t>2</w:t>
      </w:r>
      <w:r w:rsidR="00B92893" w:rsidRPr="001519D1">
        <w:rPr>
          <w:rFonts w:ascii="Arial" w:hAnsi="Arial" w:cs="Arial"/>
          <w:lang w:val="en-US"/>
        </w:rPr>
        <w:t>, even in the precipitation stage, formation of surface molybdates occurs hindering zirconia crystallization and favoring high surface areas (Table 1)</w:t>
      </w:r>
      <w:r w:rsidR="000B1F92" w:rsidRPr="001519D1">
        <w:rPr>
          <w:rFonts w:ascii="Arial" w:hAnsi="Arial" w:cs="Arial"/>
          <w:lang w:val="en-US"/>
        </w:rPr>
        <w:t xml:space="preserve"> </w:t>
      </w:r>
      <w:r w:rsidR="000B1F92"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"author" : [ { "dropping-particle" : "", "family" : "Afanasiev", "given" : "P.", "non-dropping-particle" : "", "parse-names" : false, "suffix" : "" }, { "dropping-particle" : "", "family" : "Thiollier", "given" : "A.", "non-dropping-particle" : "", "parse-names" : false, "suffix" : "" }, { "dropping-particle" : "", "family" : "Breysse", "given" : "M.", "non-dropping-particle" : "", "parse-names" : false, "suffix" : "" }, { "dropping-particle" : "", "family" : "Dubois", "given" : "J.L.", "non-dropping-particle" : "", "parse-names" : false, "suffix" : "" } ], "container-title" : "Topics in Catalysis", "id" : "ITEM-1", "issued" : { "date-parts" : [ [ "1999" ] ] }, "page" : "147-160", "title" : "Control of the textural properties of zirconium oxide", "type" : "article-journal", "volume" : "8" }, "uris" : [ "http://www.mendeley.com/documents/?uuid=5c4717b9-ad32-4b1a-926f-e62aace5f7f2" ] } ], "mendeley" : { "formattedCitation" : "[46]", "plainTextFormattedCitation" : "[46]", "previouslyFormattedCitation" : "[46]" }, "properties" : { "noteIndex" : 0 }, "schema" : "https://github.com/citation-style-language/schema/raw/master/csl-citation.json" }</w:instrText>
      </w:r>
      <w:r w:rsidR="000B1F92" w:rsidRPr="001519D1">
        <w:rPr>
          <w:rFonts w:ascii="Arial" w:hAnsi="Arial" w:cs="Arial"/>
          <w:lang w:val="en-US"/>
        </w:rPr>
        <w:fldChar w:fldCharType="separate"/>
      </w:r>
      <w:r w:rsidR="00C76F86" w:rsidRPr="001519D1">
        <w:rPr>
          <w:rFonts w:ascii="Arial" w:hAnsi="Arial" w:cs="Arial"/>
          <w:noProof/>
          <w:lang w:val="en-US"/>
        </w:rPr>
        <w:t>[46]</w:t>
      </w:r>
      <w:r w:rsidR="000B1F92" w:rsidRPr="001519D1">
        <w:rPr>
          <w:rFonts w:ascii="Arial" w:hAnsi="Arial" w:cs="Arial"/>
          <w:lang w:val="en-US"/>
        </w:rPr>
        <w:fldChar w:fldCharType="end"/>
      </w:r>
      <w:r w:rsidR="000B1F92" w:rsidRPr="001519D1">
        <w:rPr>
          <w:rFonts w:ascii="Arial" w:hAnsi="Arial" w:cs="Arial"/>
          <w:lang w:val="en-US"/>
        </w:rPr>
        <w:t>.</w:t>
      </w:r>
      <w:r w:rsidR="00B92893" w:rsidRPr="001519D1">
        <w:rPr>
          <w:rFonts w:ascii="Arial" w:hAnsi="Arial" w:cs="Arial"/>
          <w:lang w:val="en-US"/>
        </w:rPr>
        <w:t xml:space="preserve"> However, other characterization techniques are mandatory to identify the molybdenum dopant presence and their structure.</w:t>
      </w:r>
    </w:p>
    <w:p w14:paraId="4CB6241B" w14:textId="77777777" w:rsidR="00F057CE" w:rsidRPr="001519D1" w:rsidRDefault="00B92893" w:rsidP="00F057CE">
      <w:pPr>
        <w:keepNext/>
        <w:spacing w:after="0" w:line="360" w:lineRule="auto"/>
      </w:pPr>
      <w:r w:rsidRPr="001519D1">
        <w:rPr>
          <w:rFonts w:ascii="Arial" w:hAnsi="Arial" w:cs="Arial"/>
          <w:noProof/>
          <w:lang w:val="es-ES" w:eastAsia="es-ES"/>
        </w:rPr>
        <w:lastRenderedPageBreak/>
        <w:drawing>
          <wp:inline distT="0" distB="0" distL="0" distR="0" wp14:anchorId="46EC24C0" wp14:editId="6C4AB9E1">
            <wp:extent cx="2255520" cy="37249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5520" cy="3724910"/>
                    </a:xfrm>
                    <a:prstGeom prst="rect">
                      <a:avLst/>
                    </a:prstGeom>
                    <a:noFill/>
                  </pic:spPr>
                </pic:pic>
              </a:graphicData>
            </a:graphic>
          </wp:inline>
        </w:drawing>
      </w:r>
    </w:p>
    <w:p w14:paraId="3F43CB41" w14:textId="21EF0D0E" w:rsidR="00B92893" w:rsidRPr="001519D1" w:rsidRDefault="00F057CE" w:rsidP="00F057CE">
      <w:pPr>
        <w:pStyle w:val="Descripcin"/>
        <w:rPr>
          <w:rFonts w:ascii="Arial" w:hAnsi="Arial" w:cs="Arial"/>
          <w:i w:val="0"/>
          <w:iCs w:val="0"/>
          <w:color w:val="auto"/>
          <w:sz w:val="22"/>
          <w:szCs w:val="22"/>
          <w:lang w:val="en-US"/>
        </w:rPr>
      </w:pPr>
      <w:r w:rsidRPr="001519D1">
        <w:rPr>
          <w:rFonts w:ascii="Arial" w:hAnsi="Arial" w:cs="Arial"/>
          <w:i w:val="0"/>
          <w:iCs w:val="0"/>
          <w:color w:val="auto"/>
          <w:sz w:val="22"/>
          <w:szCs w:val="22"/>
          <w:lang w:val="en-US"/>
        </w:rPr>
        <w:t xml:space="preserve">Figure </w:t>
      </w:r>
      <w:r w:rsidRPr="001519D1">
        <w:rPr>
          <w:rFonts w:ascii="Arial" w:hAnsi="Arial" w:cs="Arial"/>
          <w:i w:val="0"/>
          <w:iCs w:val="0"/>
          <w:color w:val="auto"/>
          <w:sz w:val="22"/>
          <w:szCs w:val="22"/>
        </w:rPr>
        <w:fldChar w:fldCharType="begin"/>
      </w:r>
      <w:r w:rsidRPr="001519D1">
        <w:rPr>
          <w:rFonts w:ascii="Arial" w:hAnsi="Arial" w:cs="Arial"/>
          <w:i w:val="0"/>
          <w:iCs w:val="0"/>
          <w:color w:val="auto"/>
          <w:sz w:val="22"/>
          <w:szCs w:val="22"/>
          <w:lang w:val="en-US"/>
        </w:rPr>
        <w:instrText xml:space="preserve"> SEQ Figure \* ARABIC </w:instrText>
      </w:r>
      <w:r w:rsidRPr="001519D1">
        <w:rPr>
          <w:rFonts w:ascii="Arial" w:hAnsi="Arial" w:cs="Arial"/>
          <w:i w:val="0"/>
          <w:iCs w:val="0"/>
          <w:color w:val="auto"/>
          <w:sz w:val="22"/>
          <w:szCs w:val="22"/>
        </w:rPr>
        <w:fldChar w:fldCharType="separate"/>
      </w:r>
      <w:r w:rsidR="00AB59A7" w:rsidRPr="001519D1">
        <w:rPr>
          <w:rFonts w:ascii="Arial" w:hAnsi="Arial" w:cs="Arial"/>
          <w:i w:val="0"/>
          <w:iCs w:val="0"/>
          <w:noProof/>
          <w:color w:val="auto"/>
          <w:sz w:val="22"/>
          <w:szCs w:val="22"/>
          <w:lang w:val="en-US"/>
        </w:rPr>
        <w:t>4</w:t>
      </w:r>
      <w:r w:rsidRPr="001519D1">
        <w:rPr>
          <w:rFonts w:ascii="Arial" w:hAnsi="Arial" w:cs="Arial"/>
          <w:i w:val="0"/>
          <w:iCs w:val="0"/>
          <w:color w:val="auto"/>
          <w:sz w:val="22"/>
          <w:szCs w:val="22"/>
        </w:rPr>
        <w:fldChar w:fldCharType="end"/>
      </w:r>
      <w:r w:rsidRPr="001519D1">
        <w:rPr>
          <w:rFonts w:ascii="Arial" w:hAnsi="Arial" w:cs="Arial"/>
          <w:i w:val="0"/>
          <w:iCs w:val="0"/>
          <w:color w:val="auto"/>
          <w:sz w:val="22"/>
          <w:szCs w:val="22"/>
          <w:lang w:val="en-US"/>
        </w:rPr>
        <w:t>.</w:t>
      </w:r>
      <w:r w:rsidRPr="001519D1">
        <w:rPr>
          <w:rFonts w:ascii="Arial" w:hAnsi="Arial" w:cs="Arial"/>
          <w:i w:val="0"/>
          <w:iCs w:val="0"/>
          <w:noProof/>
          <w:color w:val="auto"/>
          <w:sz w:val="22"/>
          <w:szCs w:val="22"/>
          <w:lang w:val="en-US"/>
        </w:rPr>
        <w:t xml:space="preserve"> Diffraction patterns of the synthesized samples.</w:t>
      </w:r>
    </w:p>
    <w:p w14:paraId="26D95F98" w14:textId="77777777" w:rsidR="00B92893" w:rsidRPr="001519D1" w:rsidRDefault="00B92893" w:rsidP="00B92893">
      <w:pPr>
        <w:spacing w:after="0" w:line="360" w:lineRule="auto"/>
        <w:rPr>
          <w:rFonts w:ascii="Arial" w:hAnsi="Arial" w:cs="Arial"/>
          <w:lang w:val="en-US"/>
        </w:rPr>
      </w:pPr>
    </w:p>
    <w:p w14:paraId="7C352208" w14:textId="75E43EE5" w:rsidR="00C25B62" w:rsidRPr="001519D1" w:rsidRDefault="00B92893" w:rsidP="00B92893">
      <w:pPr>
        <w:spacing w:after="0" w:line="360" w:lineRule="auto"/>
        <w:rPr>
          <w:rFonts w:ascii="Arial" w:hAnsi="Arial" w:cs="Arial"/>
          <w:lang w:val="en-US"/>
        </w:rPr>
      </w:pPr>
      <w:r w:rsidRPr="001519D1">
        <w:rPr>
          <w:rFonts w:ascii="Arial" w:hAnsi="Arial" w:cs="Arial"/>
          <w:lang w:val="en-US"/>
        </w:rPr>
        <w:t>X-ray fluorescence spectroscopy analysis allows determination of the chemical composition of the samples, including Pt loading and Mo content. As it is summarized in Table 1, the composition of the commercial Puralox support exhibits a CeO</w:t>
      </w:r>
      <w:r w:rsidRPr="001519D1">
        <w:rPr>
          <w:rFonts w:ascii="Arial" w:hAnsi="Arial" w:cs="Arial"/>
          <w:vertAlign w:val="subscript"/>
          <w:lang w:val="en-US"/>
        </w:rPr>
        <w:t>2</w:t>
      </w:r>
      <w:r w:rsidRPr="001519D1">
        <w:rPr>
          <w:rFonts w:ascii="Arial" w:hAnsi="Arial" w:cs="Arial"/>
          <w:lang w:val="en-US"/>
        </w:rPr>
        <w:t>:Al</w:t>
      </w:r>
      <w:r w:rsidRPr="001519D1">
        <w:rPr>
          <w:rFonts w:ascii="Arial" w:hAnsi="Arial" w:cs="Arial"/>
          <w:vertAlign w:val="subscript"/>
          <w:lang w:val="en-US"/>
        </w:rPr>
        <w:t>2</w:t>
      </w:r>
      <w:r w:rsidRPr="001519D1">
        <w:rPr>
          <w:rFonts w:ascii="Arial" w:hAnsi="Arial" w:cs="Arial"/>
          <w:lang w:val="en-US"/>
        </w:rPr>
        <w:t>O</w:t>
      </w:r>
      <w:r w:rsidRPr="001519D1">
        <w:rPr>
          <w:rFonts w:ascii="Arial" w:hAnsi="Arial" w:cs="Arial"/>
          <w:vertAlign w:val="subscript"/>
          <w:lang w:val="en-US"/>
        </w:rPr>
        <w:t>3</w:t>
      </w:r>
      <w:r w:rsidRPr="001519D1">
        <w:rPr>
          <w:rFonts w:ascii="Arial" w:hAnsi="Arial" w:cs="Arial"/>
          <w:lang w:val="en-US"/>
        </w:rPr>
        <w:t xml:space="preserve"> 20:80 mass ratio which is in concordance with its technical data</w:t>
      </w:r>
      <w:r w:rsidR="000B1F92" w:rsidRPr="001519D1">
        <w:rPr>
          <w:rFonts w:ascii="Arial" w:hAnsi="Arial" w:cs="Arial"/>
          <w:lang w:val="en-US"/>
        </w:rPr>
        <w:t xml:space="preserve"> </w:t>
      </w:r>
      <w:r w:rsidR="000B1F92"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"author" : [ { "dropping-particle" : "", "family" : "Sasol Performance Chemicals", "given" : "", "non-dropping-particle" : "", "parse-names" : false, "suffix" : "" } ], "container-title" : "www.sasolalumina.com", "id" : "ITEM-1", "issued" : { "date-parts" : [ [ "2017" ] ] }, "page" : "1-16", "title" : "Doped aluminas. Silica-Aluminas, Mixed Metal Oxides, Hydrotalcites.", "type" : "webpage" }, "uris" : [ "http://www.mendeley.com/documents/?uuid=c8a8f54e-8334-448c-b452-c5c27e7170ff" ] } ], "mendeley" : { "formattedCitation" : "[47]", "plainTextFormattedCitation" : "[47]", "previouslyFormattedCitation" : "[47]" }, "properties" : { "noteIndex" : 0 }, "schema" : "https://github.com/citation-style-language/schema/raw/master/csl-citation.json" }</w:instrText>
      </w:r>
      <w:r w:rsidR="000B1F92" w:rsidRPr="001519D1">
        <w:rPr>
          <w:rFonts w:ascii="Arial" w:hAnsi="Arial" w:cs="Arial"/>
          <w:lang w:val="en-US"/>
        </w:rPr>
        <w:fldChar w:fldCharType="separate"/>
      </w:r>
      <w:r w:rsidR="00C76F86" w:rsidRPr="001519D1">
        <w:rPr>
          <w:rFonts w:ascii="Arial" w:hAnsi="Arial" w:cs="Arial"/>
          <w:noProof/>
          <w:lang w:val="en-US"/>
        </w:rPr>
        <w:t>[47]</w:t>
      </w:r>
      <w:r w:rsidR="000B1F92" w:rsidRPr="001519D1">
        <w:rPr>
          <w:rFonts w:ascii="Arial" w:hAnsi="Arial" w:cs="Arial"/>
          <w:lang w:val="en-US"/>
        </w:rPr>
        <w:fldChar w:fldCharType="end"/>
      </w:r>
      <w:r w:rsidRPr="001519D1">
        <w:rPr>
          <w:rFonts w:ascii="Arial" w:hAnsi="Arial" w:cs="Arial"/>
          <w:lang w:val="en-US"/>
        </w:rPr>
        <w:t xml:space="preserve"> as well as the targeted 2 wt.% Pt loading achieved by the used wet impregnation method. A type IV N</w:t>
      </w:r>
      <w:r w:rsidRPr="001519D1">
        <w:rPr>
          <w:rFonts w:ascii="Arial" w:hAnsi="Arial" w:cs="Arial"/>
          <w:vertAlign w:val="subscript"/>
          <w:lang w:val="en-US"/>
        </w:rPr>
        <w:t>2</w:t>
      </w:r>
      <w:r w:rsidRPr="001519D1">
        <w:rPr>
          <w:rFonts w:ascii="Arial" w:hAnsi="Arial" w:cs="Arial"/>
          <w:lang w:val="en-US"/>
        </w:rPr>
        <w:t xml:space="preserve"> adsorption-desorption isotherm is observed for the PtCeAl catalyst (data not shown) and the sample surface area is </w:t>
      </w:r>
      <w:r w:rsidR="00C1272A" w:rsidRPr="001519D1">
        <w:rPr>
          <w:rFonts w:ascii="Arial" w:hAnsi="Arial" w:cs="Arial"/>
          <w:lang w:val="en-US"/>
        </w:rPr>
        <w:t>slightly</w:t>
      </w:r>
      <w:r w:rsidRPr="001519D1">
        <w:rPr>
          <w:rFonts w:ascii="Arial" w:hAnsi="Arial" w:cs="Arial"/>
          <w:lang w:val="en-US"/>
        </w:rPr>
        <w:t xml:space="preserve"> lower than 160 m</w:t>
      </w:r>
      <w:r w:rsidRPr="001519D1">
        <w:rPr>
          <w:rFonts w:ascii="Arial" w:hAnsi="Arial" w:cs="Arial"/>
          <w:vertAlign w:val="superscript"/>
          <w:lang w:val="en-US"/>
        </w:rPr>
        <w:t>2</w:t>
      </w:r>
      <w:r w:rsidRPr="001519D1">
        <w:rPr>
          <w:rFonts w:ascii="Arial" w:hAnsi="Arial" w:cs="Arial"/>
          <w:lang w:val="en-US"/>
        </w:rPr>
        <w:t>·g</w:t>
      </w:r>
      <w:r w:rsidRPr="001519D1">
        <w:rPr>
          <w:rFonts w:ascii="Arial" w:hAnsi="Arial" w:cs="Arial"/>
          <w:vertAlign w:val="superscript"/>
          <w:lang w:val="en-US"/>
        </w:rPr>
        <w:t>-1</w:t>
      </w:r>
      <w:r w:rsidRPr="001519D1">
        <w:rPr>
          <w:rFonts w:ascii="Arial" w:hAnsi="Arial" w:cs="Arial"/>
          <w:lang w:val="en-US"/>
        </w:rPr>
        <w:t>, which is the BET surface area of the unloaded commercial CeO</w:t>
      </w:r>
      <w:r w:rsidRPr="001519D1">
        <w:rPr>
          <w:rFonts w:ascii="Arial" w:hAnsi="Arial" w:cs="Arial"/>
          <w:vertAlign w:val="subscript"/>
          <w:lang w:val="en-US"/>
        </w:rPr>
        <w:t>2</w:t>
      </w:r>
      <w:r w:rsidRPr="001519D1">
        <w:rPr>
          <w:rFonts w:ascii="Arial" w:hAnsi="Arial" w:cs="Arial"/>
          <w:lang w:val="en-US"/>
        </w:rPr>
        <w:t>/Al</w:t>
      </w:r>
      <w:r w:rsidRPr="001519D1">
        <w:rPr>
          <w:rFonts w:ascii="Arial" w:hAnsi="Arial" w:cs="Arial"/>
          <w:vertAlign w:val="subscript"/>
          <w:lang w:val="en-US"/>
        </w:rPr>
        <w:t>2</w:t>
      </w:r>
      <w:r w:rsidRPr="001519D1">
        <w:rPr>
          <w:rFonts w:ascii="Arial" w:hAnsi="Arial" w:cs="Arial"/>
          <w:lang w:val="en-US"/>
        </w:rPr>
        <w:t>O</w:t>
      </w:r>
      <w:r w:rsidRPr="001519D1">
        <w:rPr>
          <w:rFonts w:ascii="Arial" w:hAnsi="Arial" w:cs="Arial"/>
          <w:vertAlign w:val="subscript"/>
          <w:lang w:val="en-US"/>
        </w:rPr>
        <w:t>3</w:t>
      </w:r>
      <w:r w:rsidRPr="001519D1">
        <w:rPr>
          <w:rFonts w:ascii="Arial" w:hAnsi="Arial" w:cs="Arial"/>
          <w:lang w:val="en-US"/>
        </w:rPr>
        <w:t xml:space="preserve"> support</w:t>
      </w:r>
      <w:r w:rsidR="000B1F92" w:rsidRPr="001519D1">
        <w:rPr>
          <w:rFonts w:ascii="Arial" w:hAnsi="Arial" w:cs="Arial"/>
          <w:lang w:val="en-US"/>
        </w:rPr>
        <w:t xml:space="preserve"> </w:t>
      </w:r>
      <w:r w:rsidR="007441A1"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"author" : [ { "dropping-particle" : "", "family" : "Sasol Performance Chemicals", "given" : "", "non-dropping-particle" : "", "parse-names" : false, "suffix" : "" } ], "container-title" : "www.sasolalumina.com", "id" : "ITEM-1", "issued" : { "date-parts" : [ [ "2017" ] ] }, "page" : "1-16", "title" : "Doped aluminas. Silica-Aluminas, Mixed Metal Oxides, Hydrotalcites.", "type" : "webpage" }, "uris" : [ "http://www.mendeley.com/documents/?uuid=c8a8f54e-8334-448c-b452-c5c27e7170ff" ] } ], "mendeley" : { "formattedCitation" : "[47]", "plainTextFormattedCitation" : "[47]", "previouslyFormattedCitation" : "[47]" }, "properties" : { "noteIndex" : 0 }, "schema" : "https://github.com/citation-style-language/schema/raw/master/csl-citation.json" }</w:instrText>
      </w:r>
      <w:r w:rsidR="007441A1" w:rsidRPr="001519D1">
        <w:rPr>
          <w:rFonts w:ascii="Arial" w:hAnsi="Arial" w:cs="Arial"/>
          <w:lang w:val="en-US"/>
        </w:rPr>
        <w:fldChar w:fldCharType="separate"/>
      </w:r>
      <w:r w:rsidR="00C76F86" w:rsidRPr="001519D1">
        <w:rPr>
          <w:rFonts w:ascii="Arial" w:hAnsi="Arial" w:cs="Arial"/>
          <w:noProof/>
          <w:lang w:val="en-US"/>
        </w:rPr>
        <w:t>[47]</w:t>
      </w:r>
      <w:r w:rsidR="007441A1" w:rsidRPr="001519D1">
        <w:rPr>
          <w:rFonts w:ascii="Arial" w:hAnsi="Arial" w:cs="Arial"/>
          <w:lang w:val="en-US"/>
        </w:rPr>
        <w:fldChar w:fldCharType="end"/>
      </w:r>
      <w:r w:rsidR="000B1F92" w:rsidRPr="001519D1">
        <w:rPr>
          <w:rFonts w:ascii="Arial" w:hAnsi="Arial" w:cs="Arial"/>
          <w:lang w:val="en-US"/>
        </w:rPr>
        <w:t>.</w:t>
      </w:r>
      <w:r w:rsidRPr="001519D1">
        <w:rPr>
          <w:rFonts w:ascii="Arial" w:hAnsi="Arial" w:cs="Arial"/>
          <w:lang w:val="en-US"/>
        </w:rPr>
        <w:t xml:space="preserve"> On the other side, the introduction of Mo in the Eu-doped zirconia lattice results in an increase of the BET surface since the ZrEuMo_x samples exhibit higher surface area than that of Eu-doped ZrO</w:t>
      </w:r>
      <w:r w:rsidRPr="001519D1">
        <w:rPr>
          <w:rFonts w:ascii="Arial" w:hAnsi="Arial" w:cs="Arial"/>
          <w:vertAlign w:val="subscript"/>
          <w:lang w:val="en-US"/>
        </w:rPr>
        <w:t>2</w:t>
      </w:r>
      <w:r w:rsidRPr="001519D1">
        <w:rPr>
          <w:rFonts w:ascii="Arial" w:hAnsi="Arial" w:cs="Arial"/>
          <w:lang w:val="en-US"/>
        </w:rPr>
        <w:t xml:space="preserve"> mixed oxide (ZrEu sample S</w:t>
      </w:r>
      <w:r w:rsidRPr="001519D1">
        <w:rPr>
          <w:rFonts w:ascii="Arial" w:hAnsi="Arial" w:cs="Arial"/>
          <w:vertAlign w:val="subscript"/>
          <w:lang w:val="en-US"/>
        </w:rPr>
        <w:t>BET</w:t>
      </w:r>
      <w:r w:rsidRPr="001519D1">
        <w:rPr>
          <w:rFonts w:ascii="Arial" w:hAnsi="Arial" w:cs="Arial"/>
          <w:lang w:val="en-US"/>
        </w:rPr>
        <w:t xml:space="preserve"> = 42 m</w:t>
      </w:r>
      <w:r w:rsidRPr="001519D1">
        <w:rPr>
          <w:rFonts w:ascii="Arial" w:hAnsi="Arial" w:cs="Arial"/>
          <w:vertAlign w:val="superscript"/>
          <w:lang w:val="en-US"/>
        </w:rPr>
        <w:t>2</w:t>
      </w:r>
      <w:r w:rsidRPr="001519D1">
        <w:rPr>
          <w:rFonts w:ascii="Arial" w:hAnsi="Arial" w:cs="Arial"/>
          <w:lang w:val="en-US"/>
        </w:rPr>
        <w:t>·g</w:t>
      </w:r>
      <w:r w:rsidRPr="001519D1">
        <w:rPr>
          <w:rFonts w:ascii="Arial" w:hAnsi="Arial" w:cs="Arial"/>
          <w:vertAlign w:val="superscript"/>
          <w:lang w:val="en-US"/>
        </w:rPr>
        <w:t>-1</w:t>
      </w:r>
      <w:r w:rsidRPr="001519D1">
        <w:rPr>
          <w:rFonts w:ascii="Arial" w:hAnsi="Arial" w:cs="Arial"/>
          <w:lang w:val="en-US"/>
        </w:rPr>
        <w:t>). This may support the previously discussed hypothesis of MoO</w:t>
      </w:r>
      <w:r w:rsidRPr="001519D1">
        <w:rPr>
          <w:rFonts w:ascii="Arial" w:hAnsi="Arial" w:cs="Arial"/>
          <w:vertAlign w:val="subscript"/>
          <w:lang w:val="en-US"/>
        </w:rPr>
        <w:t>x</w:t>
      </w:r>
      <w:r w:rsidRPr="001519D1">
        <w:rPr>
          <w:rFonts w:ascii="Arial" w:hAnsi="Arial" w:cs="Arial"/>
          <w:lang w:val="en-US"/>
        </w:rPr>
        <w:t xml:space="preserve"> islands formed on the surface of the mixed oxide. The pore size and pore volume of the Mo-doped solids are not affected by the Mo content being constant for all ZrEuMo prepared samples, although this value is lower for the pore size (2.4 nm) and higher for the pore volume (0.06 – 0.07 cm</w:t>
      </w:r>
      <w:r w:rsidRPr="001519D1">
        <w:rPr>
          <w:rFonts w:ascii="Arial" w:hAnsi="Arial" w:cs="Arial"/>
          <w:vertAlign w:val="superscript"/>
          <w:lang w:val="en-US"/>
        </w:rPr>
        <w:t>3</w:t>
      </w:r>
      <w:r w:rsidRPr="001519D1">
        <w:rPr>
          <w:rFonts w:ascii="Arial" w:hAnsi="Arial" w:cs="Arial"/>
          <w:lang w:val="en-US"/>
        </w:rPr>
        <w:t>·g</w:t>
      </w:r>
      <w:r w:rsidRPr="001519D1">
        <w:rPr>
          <w:rFonts w:ascii="Arial" w:hAnsi="Arial" w:cs="Arial"/>
          <w:vertAlign w:val="superscript"/>
          <w:lang w:val="en-US"/>
        </w:rPr>
        <w:t>-1</w:t>
      </w:r>
      <w:r w:rsidRPr="001519D1">
        <w:rPr>
          <w:rFonts w:ascii="Arial" w:hAnsi="Arial" w:cs="Arial"/>
          <w:lang w:val="en-US"/>
        </w:rPr>
        <w:t>) than the ones observed for the bare ZrEu solid solution, 3.4 nm and 0.02 cm</w:t>
      </w:r>
      <w:r w:rsidRPr="001519D1">
        <w:rPr>
          <w:rFonts w:ascii="Arial" w:hAnsi="Arial" w:cs="Arial"/>
          <w:vertAlign w:val="superscript"/>
          <w:lang w:val="en-US"/>
        </w:rPr>
        <w:t>3</w:t>
      </w:r>
      <w:r w:rsidRPr="001519D1">
        <w:rPr>
          <w:rFonts w:ascii="Arial" w:hAnsi="Arial" w:cs="Arial"/>
          <w:lang w:val="en-US"/>
        </w:rPr>
        <w:t>·g</w:t>
      </w:r>
      <w:r w:rsidRPr="001519D1">
        <w:rPr>
          <w:rFonts w:ascii="Arial" w:hAnsi="Arial" w:cs="Arial"/>
          <w:vertAlign w:val="superscript"/>
          <w:lang w:val="en-US"/>
        </w:rPr>
        <w:t>-1</w:t>
      </w:r>
      <w:r w:rsidRPr="001519D1">
        <w:rPr>
          <w:rFonts w:ascii="Arial" w:hAnsi="Arial" w:cs="Arial"/>
          <w:lang w:val="en-US"/>
        </w:rPr>
        <w:t>, respectively. The ZrEuMo_x samples also define an isotherm type IV with a pore size monomodal distribution (data not shown), which is again in good agreement with the ZrEu reference sample</w:t>
      </w:r>
      <w:r w:rsidR="007441A1" w:rsidRPr="001519D1">
        <w:rPr>
          <w:rFonts w:ascii="Arial" w:hAnsi="Arial" w:cs="Arial"/>
          <w:lang w:val="en-US"/>
        </w:rPr>
        <w:t xml:space="preserve"> </w:t>
      </w:r>
      <w:r w:rsidR="007441A1" w:rsidRPr="001519D1">
        <w:rPr>
          <w:rFonts w:ascii="Arial" w:hAnsi="Arial" w:cs="Arial"/>
          <w:lang w:val="en-US"/>
        </w:rPr>
        <w:fldChar w:fldCharType="begin" w:fldLock="1"/>
      </w:r>
      <w:r w:rsidR="007441A1" w:rsidRPr="001519D1">
        <w:rPr>
          <w:rFonts w:ascii="Arial" w:hAnsi="Arial" w:cs="Arial"/>
          <w:lang w:val="en-US"/>
        </w:rPr>
        <w:instrText>ADDIN CSL_CITATION { "citationItems" : [ { "id" : "ITEM-1", "itemData" : { "DOI" : "10.1016/j.apcatb.2018.03.001", "ISSN" : "09263373", "abstract" : "Eu-doped ZrO2solid solutions have been synthesized in order to prepare proton conductors as water-enhancer additives for the WGS reaction. Elemental characterization has been carried out revealing homogeneous dopant distribution resulting in fluorite-type solid solutions for Eu2O3contents up to \u223c9 mol.%. Representative samples of the Eu-doped ZrO2series have been analysed by Impedance Spectroscopy (IS) in inert, oxygen and wet conditions. The solid solution with 5 mol.% of Eu2O3has presented the highest conductivity values for all tested conditions indicating an optimal amount of dopant. Moreover, the presence of vapour pressure results in an increment of the conductivity at temperatures lower than 300 \u00b0C, meanwhile at higher temperatures the conductivity is the same than that in inert conditions. To elucidate these results, in situ DRIFTS studies were carried out. These experiments evidenced the existence of water dissociation at oxygen vacancies (band at 3724 cm\u22121) as well as the presence of physisorbed water at temperatures up to \u223c300 \u00b0C where the band at 5248 cm\u22121characteristic of these species disappeared. These results points to a layer model where the physisorbed water interacts with surface hydroxyls generated by dissociated water that improves the proton conductivity through Grotthuss\u2019 mechanism in the RT-300 \u00b0C temperature range. These samples were successfully tested in WGS reaction as additive to a typical Pt-based catalyst. The presence of the mixed oxide reveals an increase of the catalyst\u2019 activity assisted by the proton conductor, since improves the water activation step.", "author" : [ { "dropping-particle" : "", "family" : "Garc\u00eda-Moncada", "given" : "Nuria", "non-dropping-particle" : "", "parse-names" : false, "suffix" : "" }, { "dropping-particle" : "", "family" : "Bobadilla", "given" : "Luis F.", "non-dropping-particle" : "", "parse-names" : false, "suffix" : "" }, { "dropping-particle" : "", "family" : "Poyato", "given" : "Rosal\u00eda", "non-dropping-particle" : "", "parse-names" : false, "suffix" : "" }, { "dropping-particle" : "", "family" : "L\u00f3pez-Cartes", "given" : "Carlos", "non-dropping-particle" : "", "parse-names" : false, "suffix" : "" }, { "dropping-particle" : "", "family" : "Romero-Sarria", "given" : "Francisca", "non-dropping-particle" : "", "parse-names" : false, "suffix" : "" }, { "dropping-particle" : "", "family" : "Centeno", "given" : "Miguel \u00c1ngel", "non-dropping-particle" : "", "parse-names" : false, "suffix" : "" }, { "dropping-particle" : "", "family" : "Odriozola", "given" : "Jos\u00e9 Antonio", "non-dropping-particle" : "", "parse-names" : false, "suffix" : "" } ], "container-title" : "Applied Catalysis B: Environmental", "id" : "ITEM-1", "issued" : { "date-parts" : [ [ "2018" ] ] }, "page" : "343-356", "publisher" : "Elsevier", "title" : "A direct in situ observation of water-enhanced proton conductivity of Eu-doped ZrO2: Effect on WGS reaction", "type" : "article-journal", "volume" : "231" }, "uris" : [ "http://www.mendeley.com/documents/?uuid=2791e843-8b51-456b-9c4d-1590f34730e1" ] } ], "mendeley" : { "formattedCitation" : "[6]", "plainTextFormattedCitation" : "[6]", "previouslyFormattedCitation" : "[6]" }, "properties" : { "noteIndex" : 0 }, "schema" : "https://github.com/citation-style-language/schema/raw/master/csl-citation.json" }</w:instrText>
      </w:r>
      <w:r w:rsidR="007441A1" w:rsidRPr="001519D1">
        <w:rPr>
          <w:rFonts w:ascii="Arial" w:hAnsi="Arial" w:cs="Arial"/>
          <w:lang w:val="en-US"/>
        </w:rPr>
        <w:fldChar w:fldCharType="separate"/>
      </w:r>
      <w:r w:rsidR="007441A1" w:rsidRPr="001519D1">
        <w:rPr>
          <w:rFonts w:ascii="Arial" w:hAnsi="Arial" w:cs="Arial"/>
          <w:noProof/>
          <w:lang w:val="en-US"/>
        </w:rPr>
        <w:t>[6]</w:t>
      </w:r>
      <w:r w:rsidR="007441A1" w:rsidRPr="001519D1">
        <w:rPr>
          <w:rFonts w:ascii="Arial" w:hAnsi="Arial" w:cs="Arial"/>
          <w:lang w:val="en-US"/>
        </w:rPr>
        <w:fldChar w:fldCharType="end"/>
      </w:r>
      <w:r w:rsidR="007441A1" w:rsidRPr="001519D1">
        <w:rPr>
          <w:rFonts w:ascii="Arial" w:hAnsi="Arial" w:cs="Arial"/>
          <w:lang w:val="en-US"/>
        </w:rPr>
        <w:t>.</w:t>
      </w:r>
    </w:p>
    <w:p w14:paraId="1D67889E" w14:textId="77777777" w:rsidR="00B92893" w:rsidRPr="001519D1" w:rsidRDefault="00B92893" w:rsidP="00B92893">
      <w:pPr>
        <w:spacing w:after="0" w:line="360" w:lineRule="auto"/>
        <w:rPr>
          <w:rFonts w:ascii="Arial" w:hAnsi="Arial" w:cs="Arial"/>
          <w:lang w:val="en-US"/>
        </w:rPr>
      </w:pPr>
    </w:p>
    <w:p w14:paraId="7E947631" w14:textId="6AE92F39" w:rsidR="00D53BDE" w:rsidRPr="001519D1" w:rsidRDefault="00D53BDE" w:rsidP="00D53BDE">
      <w:pPr>
        <w:pStyle w:val="Descripcin"/>
        <w:keepNext/>
        <w:rPr>
          <w:rFonts w:ascii="Arial" w:hAnsi="Arial" w:cs="Arial"/>
          <w:i w:val="0"/>
          <w:iCs w:val="0"/>
          <w:color w:val="auto"/>
          <w:sz w:val="22"/>
          <w:szCs w:val="22"/>
          <w:lang w:val="en-US"/>
        </w:rPr>
      </w:pPr>
      <w:r w:rsidRPr="001519D1">
        <w:rPr>
          <w:rFonts w:ascii="Arial" w:hAnsi="Arial" w:cs="Arial"/>
          <w:i w:val="0"/>
          <w:iCs w:val="0"/>
          <w:color w:val="auto"/>
          <w:sz w:val="22"/>
          <w:szCs w:val="22"/>
          <w:lang w:val="en-US"/>
        </w:rPr>
        <w:lastRenderedPageBreak/>
        <w:t xml:space="preserve">Table </w:t>
      </w:r>
      <w:r w:rsidRPr="001519D1">
        <w:rPr>
          <w:rFonts w:ascii="Arial" w:hAnsi="Arial" w:cs="Arial"/>
          <w:i w:val="0"/>
          <w:iCs w:val="0"/>
          <w:color w:val="auto"/>
          <w:sz w:val="22"/>
          <w:szCs w:val="22"/>
        </w:rPr>
        <w:fldChar w:fldCharType="begin"/>
      </w:r>
      <w:r w:rsidRPr="001519D1">
        <w:rPr>
          <w:rFonts w:ascii="Arial" w:hAnsi="Arial" w:cs="Arial"/>
          <w:i w:val="0"/>
          <w:iCs w:val="0"/>
          <w:color w:val="auto"/>
          <w:sz w:val="22"/>
          <w:szCs w:val="22"/>
          <w:lang w:val="en-US"/>
        </w:rPr>
        <w:instrText xml:space="preserve"> SEQ Table \* ARABIC </w:instrText>
      </w:r>
      <w:r w:rsidRPr="001519D1">
        <w:rPr>
          <w:rFonts w:ascii="Arial" w:hAnsi="Arial" w:cs="Arial"/>
          <w:i w:val="0"/>
          <w:iCs w:val="0"/>
          <w:color w:val="auto"/>
          <w:sz w:val="22"/>
          <w:szCs w:val="22"/>
        </w:rPr>
        <w:fldChar w:fldCharType="separate"/>
      </w:r>
      <w:r w:rsidR="00AB59A7" w:rsidRPr="001519D1">
        <w:rPr>
          <w:rFonts w:ascii="Arial" w:hAnsi="Arial" w:cs="Arial"/>
          <w:i w:val="0"/>
          <w:iCs w:val="0"/>
          <w:noProof/>
          <w:color w:val="auto"/>
          <w:sz w:val="22"/>
          <w:szCs w:val="22"/>
          <w:lang w:val="en-US"/>
        </w:rPr>
        <w:t>1</w:t>
      </w:r>
      <w:r w:rsidRPr="001519D1">
        <w:rPr>
          <w:rFonts w:ascii="Arial" w:hAnsi="Arial" w:cs="Arial"/>
          <w:i w:val="0"/>
          <w:iCs w:val="0"/>
          <w:color w:val="auto"/>
          <w:sz w:val="22"/>
          <w:szCs w:val="22"/>
        </w:rPr>
        <w:fldChar w:fldCharType="end"/>
      </w:r>
      <w:r w:rsidRPr="001519D1">
        <w:rPr>
          <w:rFonts w:ascii="Arial" w:hAnsi="Arial" w:cs="Arial"/>
          <w:i w:val="0"/>
          <w:iCs w:val="0"/>
          <w:color w:val="auto"/>
          <w:sz w:val="22"/>
          <w:szCs w:val="22"/>
          <w:lang w:val="en-US"/>
        </w:rPr>
        <w:t>. Summary of physicochemical properties of the prepared samples.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2"/>
        <w:gridCol w:w="1292"/>
        <w:gridCol w:w="1134"/>
        <w:gridCol w:w="992"/>
        <w:gridCol w:w="2126"/>
      </w:tblGrid>
      <w:tr w:rsidR="00B92893" w:rsidRPr="001519D1" w14:paraId="3CABC99F" w14:textId="77777777" w:rsidTr="0064187F">
        <w:trPr>
          <w:trHeight w:val="737"/>
          <w:jc w:val="center"/>
        </w:trPr>
        <w:tc>
          <w:tcPr>
            <w:tcW w:w="1402" w:type="dxa"/>
            <w:tcBorders>
              <w:bottom w:val="single" w:sz="12" w:space="0" w:color="auto"/>
            </w:tcBorders>
            <w:shd w:val="clear" w:color="auto" w:fill="auto"/>
            <w:vAlign w:val="center"/>
          </w:tcPr>
          <w:p w14:paraId="27F0C4AE" w14:textId="77777777" w:rsidR="00B92893" w:rsidRPr="001519D1" w:rsidRDefault="00B92893" w:rsidP="000B1F92">
            <w:pPr>
              <w:jc w:val="center"/>
              <w:rPr>
                <w:rFonts w:ascii="Arial" w:hAnsi="Arial" w:cs="Arial"/>
                <w:b/>
              </w:rPr>
            </w:pPr>
            <w:r w:rsidRPr="001519D1">
              <w:rPr>
                <w:rFonts w:ascii="Arial" w:hAnsi="Arial" w:cs="Arial"/>
                <w:b/>
              </w:rPr>
              <w:t>Sample</w:t>
            </w:r>
          </w:p>
        </w:tc>
        <w:tc>
          <w:tcPr>
            <w:tcW w:w="1292" w:type="dxa"/>
            <w:tcBorders>
              <w:bottom w:val="single" w:sz="12" w:space="0" w:color="auto"/>
            </w:tcBorders>
            <w:shd w:val="clear" w:color="auto" w:fill="auto"/>
            <w:vAlign w:val="center"/>
          </w:tcPr>
          <w:p w14:paraId="5AB6124A" w14:textId="77777777" w:rsidR="00B92893" w:rsidRPr="001519D1" w:rsidRDefault="00B92893" w:rsidP="000B1F92">
            <w:pPr>
              <w:jc w:val="center"/>
              <w:rPr>
                <w:rFonts w:ascii="Arial" w:hAnsi="Arial" w:cs="Arial"/>
                <w:b/>
              </w:rPr>
            </w:pPr>
            <w:r w:rsidRPr="001519D1">
              <w:rPr>
                <w:rFonts w:ascii="Arial" w:hAnsi="Arial" w:cs="Arial"/>
                <w:b/>
              </w:rPr>
              <w:t>S</w:t>
            </w:r>
            <w:r w:rsidRPr="001519D1">
              <w:rPr>
                <w:rFonts w:ascii="Arial" w:hAnsi="Arial" w:cs="Arial"/>
                <w:b/>
                <w:vertAlign w:val="subscript"/>
              </w:rPr>
              <w:t>BET</w:t>
            </w:r>
            <w:r w:rsidRPr="001519D1">
              <w:rPr>
                <w:rFonts w:ascii="Arial" w:hAnsi="Arial" w:cs="Arial"/>
                <w:b/>
              </w:rPr>
              <w:t xml:space="preserve"> (m</w:t>
            </w:r>
            <w:r w:rsidRPr="001519D1">
              <w:rPr>
                <w:rFonts w:ascii="Arial" w:hAnsi="Arial" w:cs="Arial"/>
                <w:b/>
                <w:vertAlign w:val="superscript"/>
              </w:rPr>
              <w:t>2</w:t>
            </w:r>
            <w:r w:rsidRPr="001519D1">
              <w:rPr>
                <w:rFonts w:ascii="Arial" w:hAnsi="Arial" w:cs="Arial"/>
                <w:b/>
              </w:rPr>
              <w:t>/g)</w:t>
            </w:r>
          </w:p>
        </w:tc>
        <w:tc>
          <w:tcPr>
            <w:tcW w:w="1134" w:type="dxa"/>
            <w:tcBorders>
              <w:bottom w:val="single" w:sz="12" w:space="0" w:color="auto"/>
            </w:tcBorders>
            <w:shd w:val="clear" w:color="auto" w:fill="auto"/>
            <w:vAlign w:val="center"/>
          </w:tcPr>
          <w:p w14:paraId="15E87AE0" w14:textId="77777777" w:rsidR="00B92893" w:rsidRPr="001519D1" w:rsidRDefault="00B92893" w:rsidP="000B1F92">
            <w:pPr>
              <w:jc w:val="center"/>
              <w:rPr>
                <w:rFonts w:ascii="Arial" w:hAnsi="Arial" w:cs="Arial"/>
                <w:b/>
              </w:rPr>
            </w:pPr>
            <w:r w:rsidRPr="001519D1">
              <w:rPr>
                <w:rFonts w:ascii="Arial" w:hAnsi="Arial" w:cs="Arial"/>
                <w:b/>
              </w:rPr>
              <w:t>V</w:t>
            </w:r>
            <w:r w:rsidRPr="001519D1">
              <w:rPr>
                <w:rFonts w:ascii="Arial" w:hAnsi="Arial" w:cs="Arial"/>
                <w:b/>
                <w:vertAlign w:val="subscript"/>
              </w:rPr>
              <w:t>p</w:t>
            </w:r>
            <w:r w:rsidRPr="001519D1">
              <w:rPr>
                <w:rFonts w:ascii="Arial" w:hAnsi="Arial" w:cs="Arial"/>
                <w:b/>
              </w:rPr>
              <w:t xml:space="preserve"> (cm</w:t>
            </w:r>
            <w:r w:rsidRPr="001519D1">
              <w:rPr>
                <w:rFonts w:ascii="Arial" w:hAnsi="Arial" w:cs="Arial"/>
                <w:b/>
                <w:vertAlign w:val="superscript"/>
              </w:rPr>
              <w:t>3</w:t>
            </w:r>
            <w:r w:rsidRPr="001519D1">
              <w:rPr>
                <w:rFonts w:ascii="Arial" w:hAnsi="Arial" w:cs="Arial"/>
                <w:b/>
              </w:rPr>
              <w:t>/g)</w:t>
            </w:r>
          </w:p>
        </w:tc>
        <w:tc>
          <w:tcPr>
            <w:tcW w:w="992" w:type="dxa"/>
            <w:tcBorders>
              <w:bottom w:val="single" w:sz="12" w:space="0" w:color="auto"/>
            </w:tcBorders>
            <w:shd w:val="clear" w:color="auto" w:fill="auto"/>
            <w:vAlign w:val="center"/>
          </w:tcPr>
          <w:p w14:paraId="12BE9CA0" w14:textId="77777777" w:rsidR="00B92893" w:rsidRPr="001519D1" w:rsidRDefault="00B92893" w:rsidP="000B1F92">
            <w:pPr>
              <w:jc w:val="center"/>
              <w:rPr>
                <w:rFonts w:ascii="Arial" w:hAnsi="Arial" w:cs="Arial"/>
                <w:b/>
              </w:rPr>
            </w:pPr>
            <w:r w:rsidRPr="001519D1">
              <w:rPr>
                <w:rFonts w:ascii="Arial" w:hAnsi="Arial" w:cs="Arial"/>
                <w:b/>
              </w:rPr>
              <w:t>Ø</w:t>
            </w:r>
            <w:r w:rsidRPr="001519D1">
              <w:rPr>
                <w:rFonts w:ascii="Arial" w:hAnsi="Arial" w:cs="Arial"/>
                <w:b/>
                <w:vertAlign w:val="subscript"/>
              </w:rPr>
              <w:t>p</w:t>
            </w:r>
            <w:r w:rsidRPr="001519D1">
              <w:rPr>
                <w:rFonts w:ascii="Arial" w:hAnsi="Arial" w:cs="Arial"/>
                <w:b/>
              </w:rPr>
              <w:t xml:space="preserve"> (nm)</w:t>
            </w:r>
          </w:p>
        </w:tc>
        <w:tc>
          <w:tcPr>
            <w:tcW w:w="2126" w:type="dxa"/>
            <w:tcBorders>
              <w:bottom w:val="single" w:sz="12" w:space="0" w:color="auto"/>
            </w:tcBorders>
            <w:shd w:val="clear" w:color="auto" w:fill="auto"/>
            <w:vAlign w:val="center"/>
          </w:tcPr>
          <w:p w14:paraId="358B50E9" w14:textId="5E0FEAE8" w:rsidR="00B92893" w:rsidRPr="001519D1" w:rsidRDefault="00B92893" w:rsidP="000B1F92">
            <w:pPr>
              <w:jc w:val="center"/>
              <w:rPr>
                <w:rFonts w:ascii="Arial" w:hAnsi="Arial" w:cs="Arial"/>
                <w:b/>
              </w:rPr>
            </w:pPr>
            <w:r w:rsidRPr="001519D1">
              <w:rPr>
                <w:rFonts w:ascii="Arial" w:hAnsi="Arial" w:cs="Arial"/>
                <w:b/>
              </w:rPr>
              <w:t>Chemical composition</w:t>
            </w:r>
            <w:r w:rsidRPr="001519D1">
              <w:rPr>
                <w:rFonts w:ascii="Arial" w:hAnsi="Arial" w:cs="Arial"/>
                <w:b/>
                <w:vertAlign w:val="superscript"/>
              </w:rPr>
              <w:t>*</w:t>
            </w:r>
            <w:r w:rsidR="00846AD3" w:rsidRPr="001519D1">
              <w:rPr>
                <w:rFonts w:ascii="Arial" w:hAnsi="Arial" w:cs="Arial"/>
                <w:b/>
              </w:rPr>
              <w:t xml:space="preserve"> (</w:t>
            </w:r>
            <w:r w:rsidRPr="001519D1">
              <w:rPr>
                <w:rFonts w:ascii="Arial" w:hAnsi="Arial" w:cs="Arial"/>
                <w:b/>
              </w:rPr>
              <w:t>X</w:t>
            </w:r>
            <w:r w:rsidR="00846AD3" w:rsidRPr="001519D1">
              <w:rPr>
                <w:rFonts w:ascii="Arial" w:hAnsi="Arial" w:cs="Arial"/>
                <w:b/>
              </w:rPr>
              <w:t>RF</w:t>
            </w:r>
            <w:r w:rsidRPr="001519D1">
              <w:rPr>
                <w:rFonts w:ascii="Arial" w:hAnsi="Arial" w:cs="Arial"/>
                <w:b/>
              </w:rPr>
              <w:t xml:space="preserve"> – wt. %)</w:t>
            </w:r>
          </w:p>
        </w:tc>
      </w:tr>
      <w:tr w:rsidR="00B92893" w:rsidRPr="001519D1" w14:paraId="1628479E" w14:textId="77777777" w:rsidTr="0064187F">
        <w:trPr>
          <w:trHeight w:val="794"/>
          <w:jc w:val="center"/>
        </w:trPr>
        <w:tc>
          <w:tcPr>
            <w:tcW w:w="1402" w:type="dxa"/>
            <w:tcBorders>
              <w:top w:val="single" w:sz="12" w:space="0" w:color="auto"/>
              <w:bottom w:val="dotted" w:sz="12" w:space="0" w:color="auto"/>
            </w:tcBorders>
            <w:shd w:val="clear" w:color="auto" w:fill="auto"/>
            <w:vAlign w:val="center"/>
          </w:tcPr>
          <w:p w14:paraId="25629D79" w14:textId="77777777" w:rsidR="00B92893" w:rsidRPr="001519D1" w:rsidRDefault="00B92893" w:rsidP="000B1F92">
            <w:pPr>
              <w:jc w:val="center"/>
              <w:rPr>
                <w:rFonts w:ascii="Arial" w:hAnsi="Arial" w:cs="Arial"/>
                <w:b/>
              </w:rPr>
            </w:pPr>
            <w:r w:rsidRPr="001519D1">
              <w:rPr>
                <w:rFonts w:ascii="Arial" w:hAnsi="Arial" w:cs="Arial"/>
                <w:b/>
              </w:rPr>
              <w:t>PtCeAl</w:t>
            </w:r>
          </w:p>
        </w:tc>
        <w:tc>
          <w:tcPr>
            <w:tcW w:w="1292" w:type="dxa"/>
            <w:tcBorders>
              <w:top w:val="single" w:sz="12" w:space="0" w:color="auto"/>
              <w:bottom w:val="dotted" w:sz="12" w:space="0" w:color="auto"/>
            </w:tcBorders>
            <w:shd w:val="clear" w:color="auto" w:fill="auto"/>
            <w:vAlign w:val="center"/>
          </w:tcPr>
          <w:p w14:paraId="533FF416" w14:textId="77777777" w:rsidR="00B92893" w:rsidRPr="001519D1" w:rsidRDefault="00B92893" w:rsidP="000B1F92">
            <w:pPr>
              <w:jc w:val="center"/>
              <w:rPr>
                <w:rFonts w:ascii="Arial" w:hAnsi="Arial" w:cs="Arial"/>
              </w:rPr>
            </w:pPr>
            <w:r w:rsidRPr="001519D1">
              <w:rPr>
                <w:rFonts w:ascii="Arial" w:hAnsi="Arial" w:cs="Arial"/>
              </w:rPr>
              <w:t>110</w:t>
            </w:r>
          </w:p>
        </w:tc>
        <w:tc>
          <w:tcPr>
            <w:tcW w:w="1134" w:type="dxa"/>
            <w:tcBorders>
              <w:top w:val="single" w:sz="12" w:space="0" w:color="auto"/>
              <w:bottom w:val="dotted" w:sz="12" w:space="0" w:color="auto"/>
            </w:tcBorders>
            <w:shd w:val="clear" w:color="auto" w:fill="auto"/>
            <w:vAlign w:val="center"/>
          </w:tcPr>
          <w:p w14:paraId="5783D49F" w14:textId="77777777" w:rsidR="00B92893" w:rsidRPr="001519D1" w:rsidRDefault="00B92893" w:rsidP="000B1F92">
            <w:pPr>
              <w:jc w:val="center"/>
              <w:rPr>
                <w:rFonts w:ascii="Arial" w:hAnsi="Arial" w:cs="Arial"/>
              </w:rPr>
            </w:pPr>
            <w:r w:rsidRPr="001519D1">
              <w:rPr>
                <w:rFonts w:ascii="Arial" w:hAnsi="Arial" w:cs="Arial"/>
              </w:rPr>
              <w:t>0.26</w:t>
            </w:r>
          </w:p>
        </w:tc>
        <w:tc>
          <w:tcPr>
            <w:tcW w:w="992" w:type="dxa"/>
            <w:tcBorders>
              <w:top w:val="single" w:sz="12" w:space="0" w:color="auto"/>
              <w:bottom w:val="dotted" w:sz="12" w:space="0" w:color="auto"/>
            </w:tcBorders>
            <w:shd w:val="clear" w:color="auto" w:fill="auto"/>
            <w:vAlign w:val="center"/>
          </w:tcPr>
          <w:p w14:paraId="7780AF6D" w14:textId="77777777" w:rsidR="00B92893" w:rsidRPr="001519D1" w:rsidRDefault="00B92893" w:rsidP="000B1F92">
            <w:pPr>
              <w:jc w:val="center"/>
              <w:rPr>
                <w:rFonts w:ascii="Arial" w:hAnsi="Arial" w:cs="Arial"/>
              </w:rPr>
            </w:pPr>
            <w:r w:rsidRPr="001519D1">
              <w:rPr>
                <w:rFonts w:ascii="Arial" w:hAnsi="Arial" w:cs="Arial"/>
              </w:rPr>
              <w:t>8.84</w:t>
            </w:r>
          </w:p>
        </w:tc>
        <w:tc>
          <w:tcPr>
            <w:tcW w:w="2126" w:type="dxa"/>
            <w:tcBorders>
              <w:top w:val="single" w:sz="12" w:space="0" w:color="auto"/>
              <w:bottom w:val="dotted" w:sz="12" w:space="0" w:color="auto"/>
            </w:tcBorders>
            <w:shd w:val="clear" w:color="auto" w:fill="auto"/>
            <w:vAlign w:val="center"/>
          </w:tcPr>
          <w:p w14:paraId="1ED6D65F" w14:textId="77777777" w:rsidR="00B92893" w:rsidRPr="001519D1" w:rsidRDefault="00B92893" w:rsidP="000B1F92">
            <w:pPr>
              <w:jc w:val="center"/>
              <w:rPr>
                <w:rFonts w:ascii="Arial" w:hAnsi="Arial" w:cs="Arial"/>
              </w:rPr>
            </w:pPr>
            <w:r w:rsidRPr="001519D1">
              <w:rPr>
                <w:rFonts w:ascii="Arial" w:hAnsi="Arial" w:cs="Arial"/>
              </w:rPr>
              <w:t>1.8 Pt (2)</w:t>
            </w:r>
          </w:p>
          <w:p w14:paraId="32EAB209" w14:textId="77777777" w:rsidR="00B92893" w:rsidRPr="001519D1" w:rsidRDefault="00B92893" w:rsidP="000B1F92">
            <w:pPr>
              <w:jc w:val="center"/>
              <w:rPr>
                <w:rFonts w:ascii="Arial" w:hAnsi="Arial" w:cs="Arial"/>
              </w:rPr>
            </w:pPr>
            <w:r w:rsidRPr="001519D1">
              <w:rPr>
                <w:rFonts w:ascii="Arial" w:hAnsi="Arial" w:cs="Arial"/>
              </w:rPr>
              <w:t>18.8 CeO</w:t>
            </w:r>
            <w:r w:rsidRPr="001519D1">
              <w:rPr>
                <w:rFonts w:ascii="Arial" w:hAnsi="Arial" w:cs="Arial"/>
                <w:vertAlign w:val="subscript"/>
              </w:rPr>
              <w:t>2</w:t>
            </w:r>
            <w:r w:rsidRPr="001519D1">
              <w:rPr>
                <w:rFonts w:ascii="Arial" w:hAnsi="Arial" w:cs="Arial"/>
              </w:rPr>
              <w:t xml:space="preserve"> (19.6)</w:t>
            </w:r>
          </w:p>
          <w:p w14:paraId="70BCCD99" w14:textId="77777777" w:rsidR="00B92893" w:rsidRPr="001519D1" w:rsidRDefault="00B92893" w:rsidP="000B1F92">
            <w:pPr>
              <w:jc w:val="center"/>
              <w:rPr>
                <w:rFonts w:ascii="Arial" w:hAnsi="Arial" w:cs="Arial"/>
              </w:rPr>
            </w:pPr>
            <w:r w:rsidRPr="001519D1">
              <w:rPr>
                <w:rFonts w:ascii="Arial" w:hAnsi="Arial" w:cs="Arial"/>
              </w:rPr>
              <w:t>79.4 Al</w:t>
            </w:r>
            <w:r w:rsidRPr="001519D1">
              <w:rPr>
                <w:rFonts w:ascii="Arial" w:hAnsi="Arial" w:cs="Arial"/>
                <w:vertAlign w:val="subscript"/>
              </w:rPr>
              <w:t>2</w:t>
            </w:r>
            <w:r w:rsidRPr="001519D1">
              <w:rPr>
                <w:rFonts w:ascii="Arial" w:hAnsi="Arial" w:cs="Arial"/>
              </w:rPr>
              <w:t>O</w:t>
            </w:r>
            <w:r w:rsidRPr="001519D1">
              <w:rPr>
                <w:rFonts w:ascii="Arial" w:hAnsi="Arial" w:cs="Arial"/>
                <w:vertAlign w:val="subscript"/>
              </w:rPr>
              <w:t>3</w:t>
            </w:r>
            <w:r w:rsidRPr="001519D1">
              <w:rPr>
                <w:rFonts w:ascii="Arial" w:hAnsi="Arial" w:cs="Arial"/>
              </w:rPr>
              <w:t xml:space="preserve"> (78.4)</w:t>
            </w:r>
          </w:p>
        </w:tc>
      </w:tr>
      <w:tr w:rsidR="00B92893" w:rsidRPr="001519D1" w14:paraId="5ADF7F7E" w14:textId="77777777" w:rsidTr="0064187F">
        <w:trPr>
          <w:trHeight w:val="1077"/>
          <w:jc w:val="center"/>
        </w:trPr>
        <w:tc>
          <w:tcPr>
            <w:tcW w:w="1402" w:type="dxa"/>
            <w:tcBorders>
              <w:top w:val="dotted" w:sz="12" w:space="0" w:color="auto"/>
              <w:bottom w:val="dotted" w:sz="12" w:space="0" w:color="auto"/>
            </w:tcBorders>
            <w:shd w:val="clear" w:color="auto" w:fill="auto"/>
            <w:vAlign w:val="center"/>
          </w:tcPr>
          <w:p w14:paraId="22503491" w14:textId="77777777" w:rsidR="00B92893" w:rsidRPr="001519D1" w:rsidRDefault="00B92893" w:rsidP="000B1F92">
            <w:pPr>
              <w:jc w:val="center"/>
              <w:rPr>
                <w:rFonts w:ascii="Arial" w:hAnsi="Arial" w:cs="Arial"/>
                <w:b/>
              </w:rPr>
            </w:pPr>
            <w:r w:rsidRPr="001519D1">
              <w:rPr>
                <w:rFonts w:ascii="Arial" w:hAnsi="Arial" w:cs="Arial"/>
                <w:b/>
              </w:rPr>
              <w:t>ZrEuMo_5</w:t>
            </w:r>
          </w:p>
        </w:tc>
        <w:tc>
          <w:tcPr>
            <w:tcW w:w="1292" w:type="dxa"/>
            <w:tcBorders>
              <w:top w:val="dotted" w:sz="12" w:space="0" w:color="auto"/>
              <w:bottom w:val="dotted" w:sz="12" w:space="0" w:color="auto"/>
            </w:tcBorders>
            <w:shd w:val="clear" w:color="auto" w:fill="auto"/>
            <w:vAlign w:val="center"/>
          </w:tcPr>
          <w:p w14:paraId="79FD730B" w14:textId="77777777" w:rsidR="00B92893" w:rsidRPr="001519D1" w:rsidRDefault="00B92893" w:rsidP="000B1F92">
            <w:pPr>
              <w:jc w:val="center"/>
              <w:rPr>
                <w:rFonts w:ascii="Arial" w:hAnsi="Arial" w:cs="Arial"/>
              </w:rPr>
            </w:pPr>
            <w:r w:rsidRPr="001519D1">
              <w:rPr>
                <w:rFonts w:ascii="Arial" w:hAnsi="Arial" w:cs="Arial"/>
              </w:rPr>
              <w:t>74</w:t>
            </w:r>
          </w:p>
        </w:tc>
        <w:tc>
          <w:tcPr>
            <w:tcW w:w="1134" w:type="dxa"/>
            <w:tcBorders>
              <w:top w:val="dotted" w:sz="12" w:space="0" w:color="auto"/>
              <w:bottom w:val="dotted" w:sz="12" w:space="0" w:color="auto"/>
            </w:tcBorders>
            <w:shd w:val="clear" w:color="auto" w:fill="auto"/>
            <w:vAlign w:val="center"/>
          </w:tcPr>
          <w:p w14:paraId="0B335B12" w14:textId="77777777" w:rsidR="00B92893" w:rsidRPr="001519D1" w:rsidRDefault="00B92893" w:rsidP="000B1F92">
            <w:pPr>
              <w:jc w:val="center"/>
              <w:rPr>
                <w:rFonts w:ascii="Arial" w:hAnsi="Arial" w:cs="Arial"/>
              </w:rPr>
            </w:pPr>
            <w:r w:rsidRPr="001519D1">
              <w:rPr>
                <w:rFonts w:ascii="Arial" w:hAnsi="Arial" w:cs="Arial"/>
              </w:rPr>
              <w:t>0.06</w:t>
            </w:r>
          </w:p>
        </w:tc>
        <w:tc>
          <w:tcPr>
            <w:tcW w:w="992" w:type="dxa"/>
            <w:tcBorders>
              <w:top w:val="dotted" w:sz="12" w:space="0" w:color="auto"/>
              <w:bottom w:val="dotted" w:sz="12" w:space="0" w:color="auto"/>
            </w:tcBorders>
            <w:shd w:val="clear" w:color="auto" w:fill="auto"/>
            <w:vAlign w:val="center"/>
          </w:tcPr>
          <w:p w14:paraId="4C396E92" w14:textId="77777777" w:rsidR="00B92893" w:rsidRPr="001519D1" w:rsidRDefault="00B92893" w:rsidP="000B1F92">
            <w:pPr>
              <w:jc w:val="center"/>
              <w:rPr>
                <w:rFonts w:ascii="Arial" w:hAnsi="Arial" w:cs="Arial"/>
              </w:rPr>
            </w:pPr>
            <w:r w:rsidRPr="001519D1">
              <w:rPr>
                <w:rFonts w:ascii="Arial" w:hAnsi="Arial" w:cs="Arial"/>
              </w:rPr>
              <w:t>2.4</w:t>
            </w:r>
          </w:p>
        </w:tc>
        <w:tc>
          <w:tcPr>
            <w:tcW w:w="2126" w:type="dxa"/>
            <w:tcBorders>
              <w:top w:val="dotted" w:sz="12" w:space="0" w:color="auto"/>
              <w:bottom w:val="dotted" w:sz="12" w:space="0" w:color="auto"/>
            </w:tcBorders>
            <w:shd w:val="clear" w:color="auto" w:fill="auto"/>
            <w:vAlign w:val="center"/>
          </w:tcPr>
          <w:p w14:paraId="5253B73F" w14:textId="77777777" w:rsidR="00B92893" w:rsidRPr="001519D1" w:rsidRDefault="00B92893" w:rsidP="000B1F92">
            <w:pPr>
              <w:jc w:val="center"/>
              <w:rPr>
                <w:rFonts w:ascii="Arial" w:hAnsi="Arial" w:cs="Arial"/>
              </w:rPr>
            </w:pPr>
            <w:r w:rsidRPr="001519D1">
              <w:rPr>
                <w:rFonts w:ascii="Arial" w:hAnsi="Arial" w:cs="Arial"/>
              </w:rPr>
              <w:t>58.4 Zr (60.9)</w:t>
            </w:r>
          </w:p>
          <w:p w14:paraId="70A9CE6A" w14:textId="77777777" w:rsidR="00B92893" w:rsidRPr="001519D1" w:rsidRDefault="00B92893" w:rsidP="000B1F92">
            <w:pPr>
              <w:jc w:val="center"/>
              <w:rPr>
                <w:rFonts w:ascii="Arial" w:hAnsi="Arial" w:cs="Arial"/>
              </w:rPr>
            </w:pPr>
            <w:r w:rsidRPr="001519D1">
              <w:rPr>
                <w:rFonts w:ascii="Arial" w:hAnsi="Arial" w:cs="Arial"/>
              </w:rPr>
              <w:t>11.9 Eu (10.7)</w:t>
            </w:r>
          </w:p>
          <w:p w14:paraId="3D60B33E" w14:textId="77777777" w:rsidR="00B92893" w:rsidRPr="001519D1" w:rsidRDefault="00B92893" w:rsidP="000B1F92">
            <w:pPr>
              <w:jc w:val="center"/>
              <w:rPr>
                <w:rFonts w:ascii="Arial" w:hAnsi="Arial" w:cs="Arial"/>
              </w:rPr>
            </w:pPr>
            <w:r w:rsidRPr="001519D1">
              <w:rPr>
                <w:rFonts w:ascii="Arial" w:hAnsi="Arial" w:cs="Arial"/>
              </w:rPr>
              <w:t>4.5 Mo (3.6)</w:t>
            </w:r>
          </w:p>
          <w:p w14:paraId="41C91961" w14:textId="77777777" w:rsidR="00B92893" w:rsidRPr="001519D1" w:rsidRDefault="00B92893" w:rsidP="000B1F92">
            <w:pPr>
              <w:jc w:val="center"/>
              <w:rPr>
                <w:rFonts w:ascii="Arial" w:hAnsi="Arial" w:cs="Arial"/>
              </w:rPr>
            </w:pPr>
            <w:r w:rsidRPr="001519D1">
              <w:rPr>
                <w:rFonts w:ascii="Arial" w:hAnsi="Arial" w:cs="Arial"/>
              </w:rPr>
              <w:t>25.2 O (24.8)</w:t>
            </w:r>
          </w:p>
        </w:tc>
      </w:tr>
      <w:tr w:rsidR="00B92893" w:rsidRPr="001519D1" w14:paraId="4663E982" w14:textId="77777777" w:rsidTr="0064187F">
        <w:trPr>
          <w:trHeight w:val="1077"/>
          <w:jc w:val="center"/>
        </w:trPr>
        <w:tc>
          <w:tcPr>
            <w:tcW w:w="1402" w:type="dxa"/>
            <w:tcBorders>
              <w:top w:val="dotted" w:sz="12" w:space="0" w:color="auto"/>
              <w:bottom w:val="dotted" w:sz="12" w:space="0" w:color="auto"/>
            </w:tcBorders>
            <w:shd w:val="clear" w:color="auto" w:fill="auto"/>
            <w:vAlign w:val="center"/>
          </w:tcPr>
          <w:p w14:paraId="4B2AFC22" w14:textId="77777777" w:rsidR="00B92893" w:rsidRPr="001519D1" w:rsidRDefault="00B92893" w:rsidP="000B1F92">
            <w:pPr>
              <w:jc w:val="center"/>
              <w:rPr>
                <w:rFonts w:ascii="Arial" w:hAnsi="Arial" w:cs="Arial"/>
                <w:b/>
              </w:rPr>
            </w:pPr>
            <w:r w:rsidRPr="001519D1">
              <w:rPr>
                <w:rFonts w:ascii="Arial" w:hAnsi="Arial" w:cs="Arial"/>
                <w:b/>
              </w:rPr>
              <w:t>ZrEuMo_7</w:t>
            </w:r>
          </w:p>
        </w:tc>
        <w:tc>
          <w:tcPr>
            <w:tcW w:w="1292" w:type="dxa"/>
            <w:tcBorders>
              <w:top w:val="dotted" w:sz="12" w:space="0" w:color="auto"/>
              <w:bottom w:val="dotted" w:sz="12" w:space="0" w:color="auto"/>
            </w:tcBorders>
            <w:shd w:val="clear" w:color="auto" w:fill="auto"/>
            <w:vAlign w:val="center"/>
          </w:tcPr>
          <w:p w14:paraId="4B178BC1" w14:textId="77777777" w:rsidR="00B92893" w:rsidRPr="001519D1" w:rsidRDefault="00B92893" w:rsidP="000B1F92">
            <w:pPr>
              <w:jc w:val="center"/>
              <w:rPr>
                <w:rFonts w:ascii="Arial" w:hAnsi="Arial" w:cs="Arial"/>
              </w:rPr>
            </w:pPr>
            <w:r w:rsidRPr="001519D1">
              <w:rPr>
                <w:rFonts w:ascii="Arial" w:hAnsi="Arial" w:cs="Arial"/>
              </w:rPr>
              <w:t>88</w:t>
            </w:r>
          </w:p>
        </w:tc>
        <w:tc>
          <w:tcPr>
            <w:tcW w:w="1134" w:type="dxa"/>
            <w:tcBorders>
              <w:top w:val="dotted" w:sz="12" w:space="0" w:color="auto"/>
              <w:bottom w:val="dotted" w:sz="12" w:space="0" w:color="auto"/>
            </w:tcBorders>
            <w:shd w:val="clear" w:color="auto" w:fill="auto"/>
            <w:vAlign w:val="center"/>
          </w:tcPr>
          <w:p w14:paraId="61593810" w14:textId="77777777" w:rsidR="00B92893" w:rsidRPr="001519D1" w:rsidRDefault="00B92893" w:rsidP="000B1F92">
            <w:pPr>
              <w:jc w:val="center"/>
              <w:rPr>
                <w:rFonts w:ascii="Arial" w:hAnsi="Arial" w:cs="Arial"/>
              </w:rPr>
            </w:pPr>
            <w:r w:rsidRPr="001519D1">
              <w:rPr>
                <w:rFonts w:ascii="Arial" w:hAnsi="Arial" w:cs="Arial"/>
              </w:rPr>
              <w:t>0.07</w:t>
            </w:r>
          </w:p>
        </w:tc>
        <w:tc>
          <w:tcPr>
            <w:tcW w:w="992" w:type="dxa"/>
            <w:tcBorders>
              <w:top w:val="dotted" w:sz="12" w:space="0" w:color="auto"/>
              <w:bottom w:val="dotted" w:sz="12" w:space="0" w:color="auto"/>
            </w:tcBorders>
            <w:shd w:val="clear" w:color="auto" w:fill="auto"/>
            <w:vAlign w:val="center"/>
          </w:tcPr>
          <w:p w14:paraId="36C8AC8F" w14:textId="77777777" w:rsidR="00B92893" w:rsidRPr="001519D1" w:rsidRDefault="00B92893" w:rsidP="000B1F92">
            <w:pPr>
              <w:jc w:val="center"/>
              <w:rPr>
                <w:rFonts w:ascii="Arial" w:hAnsi="Arial" w:cs="Arial"/>
              </w:rPr>
            </w:pPr>
            <w:r w:rsidRPr="001519D1">
              <w:rPr>
                <w:rFonts w:ascii="Arial" w:hAnsi="Arial" w:cs="Arial"/>
              </w:rPr>
              <w:t>2.4</w:t>
            </w:r>
          </w:p>
        </w:tc>
        <w:tc>
          <w:tcPr>
            <w:tcW w:w="2126" w:type="dxa"/>
            <w:tcBorders>
              <w:top w:val="dotted" w:sz="12" w:space="0" w:color="auto"/>
              <w:bottom w:val="dotted" w:sz="12" w:space="0" w:color="auto"/>
            </w:tcBorders>
            <w:shd w:val="clear" w:color="auto" w:fill="auto"/>
            <w:vAlign w:val="center"/>
          </w:tcPr>
          <w:p w14:paraId="4B90AF42" w14:textId="77777777" w:rsidR="00B92893" w:rsidRPr="001519D1" w:rsidRDefault="00B92893" w:rsidP="000B1F92">
            <w:pPr>
              <w:jc w:val="center"/>
              <w:rPr>
                <w:rFonts w:ascii="Arial" w:hAnsi="Arial" w:cs="Arial"/>
              </w:rPr>
            </w:pPr>
            <w:r w:rsidRPr="001519D1">
              <w:rPr>
                <w:rFonts w:ascii="Arial" w:hAnsi="Arial" w:cs="Arial"/>
              </w:rPr>
              <w:t>56.2 Zr (59.6)</w:t>
            </w:r>
          </w:p>
          <w:p w14:paraId="08A0517E" w14:textId="77777777" w:rsidR="00B92893" w:rsidRPr="001519D1" w:rsidRDefault="00B92893" w:rsidP="000B1F92">
            <w:pPr>
              <w:jc w:val="center"/>
              <w:rPr>
                <w:rFonts w:ascii="Arial" w:hAnsi="Arial" w:cs="Arial"/>
              </w:rPr>
            </w:pPr>
            <w:r w:rsidRPr="001519D1">
              <w:rPr>
                <w:rFonts w:ascii="Arial" w:hAnsi="Arial" w:cs="Arial"/>
              </w:rPr>
              <w:t>11.9 Eu (10.4)</w:t>
            </w:r>
          </w:p>
          <w:p w14:paraId="09631270" w14:textId="77777777" w:rsidR="00B92893" w:rsidRPr="001519D1" w:rsidRDefault="00B92893" w:rsidP="000B1F92">
            <w:pPr>
              <w:jc w:val="center"/>
              <w:rPr>
                <w:rFonts w:ascii="Arial" w:hAnsi="Arial" w:cs="Arial"/>
              </w:rPr>
            </w:pPr>
            <w:r w:rsidRPr="001519D1">
              <w:rPr>
                <w:rFonts w:ascii="Arial" w:hAnsi="Arial" w:cs="Arial"/>
              </w:rPr>
              <w:t>6.5 Mo (5.0)</w:t>
            </w:r>
          </w:p>
          <w:p w14:paraId="38C706FD" w14:textId="77777777" w:rsidR="00B92893" w:rsidRPr="001519D1" w:rsidRDefault="00B92893" w:rsidP="000B1F92">
            <w:pPr>
              <w:jc w:val="center"/>
              <w:rPr>
                <w:rFonts w:ascii="Arial" w:hAnsi="Arial" w:cs="Arial"/>
              </w:rPr>
            </w:pPr>
            <w:r w:rsidRPr="001519D1">
              <w:rPr>
                <w:rFonts w:ascii="Arial" w:hAnsi="Arial" w:cs="Arial"/>
              </w:rPr>
              <w:t>25.4 O (25.0)</w:t>
            </w:r>
          </w:p>
        </w:tc>
      </w:tr>
      <w:tr w:rsidR="00B92893" w:rsidRPr="001519D1" w14:paraId="41E5BF68" w14:textId="77777777" w:rsidTr="0064187F">
        <w:trPr>
          <w:trHeight w:val="1077"/>
          <w:jc w:val="center"/>
        </w:trPr>
        <w:tc>
          <w:tcPr>
            <w:tcW w:w="1402" w:type="dxa"/>
            <w:tcBorders>
              <w:top w:val="dotted" w:sz="12" w:space="0" w:color="auto"/>
              <w:bottom w:val="dotted" w:sz="12" w:space="0" w:color="auto"/>
            </w:tcBorders>
            <w:shd w:val="clear" w:color="auto" w:fill="auto"/>
            <w:vAlign w:val="center"/>
          </w:tcPr>
          <w:p w14:paraId="0201F2A7" w14:textId="77777777" w:rsidR="00B92893" w:rsidRPr="001519D1" w:rsidRDefault="00B92893" w:rsidP="000B1F92">
            <w:pPr>
              <w:jc w:val="center"/>
              <w:rPr>
                <w:rFonts w:ascii="Arial" w:hAnsi="Arial" w:cs="Arial"/>
                <w:b/>
              </w:rPr>
            </w:pPr>
            <w:r w:rsidRPr="001519D1">
              <w:rPr>
                <w:rFonts w:ascii="Arial" w:hAnsi="Arial" w:cs="Arial"/>
                <w:b/>
              </w:rPr>
              <w:t>ZrEuMo_10</w:t>
            </w:r>
          </w:p>
        </w:tc>
        <w:tc>
          <w:tcPr>
            <w:tcW w:w="1292" w:type="dxa"/>
            <w:tcBorders>
              <w:top w:val="dotted" w:sz="12" w:space="0" w:color="auto"/>
              <w:bottom w:val="dotted" w:sz="12" w:space="0" w:color="auto"/>
            </w:tcBorders>
            <w:shd w:val="clear" w:color="auto" w:fill="auto"/>
            <w:vAlign w:val="center"/>
          </w:tcPr>
          <w:p w14:paraId="1FC69CA7" w14:textId="77777777" w:rsidR="00B92893" w:rsidRPr="001519D1" w:rsidRDefault="00B92893" w:rsidP="000B1F92">
            <w:pPr>
              <w:jc w:val="center"/>
              <w:rPr>
                <w:rFonts w:ascii="Arial" w:hAnsi="Arial" w:cs="Arial"/>
              </w:rPr>
            </w:pPr>
            <w:r w:rsidRPr="001519D1">
              <w:rPr>
                <w:rFonts w:ascii="Arial" w:hAnsi="Arial" w:cs="Arial"/>
              </w:rPr>
              <w:t>85</w:t>
            </w:r>
          </w:p>
        </w:tc>
        <w:tc>
          <w:tcPr>
            <w:tcW w:w="1134" w:type="dxa"/>
            <w:tcBorders>
              <w:top w:val="dotted" w:sz="12" w:space="0" w:color="auto"/>
              <w:bottom w:val="dotted" w:sz="12" w:space="0" w:color="auto"/>
            </w:tcBorders>
            <w:shd w:val="clear" w:color="auto" w:fill="auto"/>
            <w:vAlign w:val="center"/>
          </w:tcPr>
          <w:p w14:paraId="21747E0D" w14:textId="77777777" w:rsidR="00B92893" w:rsidRPr="001519D1" w:rsidRDefault="00B92893" w:rsidP="000B1F92">
            <w:pPr>
              <w:jc w:val="center"/>
              <w:rPr>
                <w:rFonts w:ascii="Arial" w:hAnsi="Arial" w:cs="Arial"/>
              </w:rPr>
            </w:pPr>
            <w:r w:rsidRPr="001519D1">
              <w:rPr>
                <w:rFonts w:ascii="Arial" w:hAnsi="Arial" w:cs="Arial"/>
              </w:rPr>
              <w:t>0.06</w:t>
            </w:r>
          </w:p>
        </w:tc>
        <w:tc>
          <w:tcPr>
            <w:tcW w:w="992" w:type="dxa"/>
            <w:tcBorders>
              <w:top w:val="dotted" w:sz="12" w:space="0" w:color="auto"/>
              <w:bottom w:val="dotted" w:sz="12" w:space="0" w:color="auto"/>
            </w:tcBorders>
            <w:shd w:val="clear" w:color="auto" w:fill="auto"/>
            <w:vAlign w:val="center"/>
          </w:tcPr>
          <w:p w14:paraId="0D1478DD" w14:textId="77777777" w:rsidR="00B92893" w:rsidRPr="001519D1" w:rsidRDefault="00B92893" w:rsidP="000B1F92">
            <w:pPr>
              <w:jc w:val="center"/>
              <w:rPr>
                <w:rFonts w:ascii="Arial" w:hAnsi="Arial" w:cs="Arial"/>
              </w:rPr>
            </w:pPr>
            <w:r w:rsidRPr="001519D1">
              <w:rPr>
                <w:rFonts w:ascii="Arial" w:hAnsi="Arial" w:cs="Arial"/>
              </w:rPr>
              <w:t>2.4</w:t>
            </w:r>
          </w:p>
        </w:tc>
        <w:tc>
          <w:tcPr>
            <w:tcW w:w="2126" w:type="dxa"/>
            <w:tcBorders>
              <w:top w:val="dotted" w:sz="12" w:space="0" w:color="auto"/>
              <w:bottom w:val="dotted" w:sz="12" w:space="0" w:color="auto"/>
            </w:tcBorders>
            <w:shd w:val="clear" w:color="auto" w:fill="auto"/>
            <w:vAlign w:val="center"/>
          </w:tcPr>
          <w:p w14:paraId="656D7C57" w14:textId="77777777" w:rsidR="00B92893" w:rsidRPr="001519D1" w:rsidRDefault="00B92893" w:rsidP="000B1F92">
            <w:pPr>
              <w:jc w:val="center"/>
              <w:rPr>
                <w:rFonts w:ascii="Arial" w:hAnsi="Arial" w:cs="Arial"/>
              </w:rPr>
            </w:pPr>
            <w:r w:rsidRPr="001519D1">
              <w:rPr>
                <w:rFonts w:ascii="Arial" w:hAnsi="Arial" w:cs="Arial"/>
              </w:rPr>
              <w:t>55.1 Zr (57.5)</w:t>
            </w:r>
          </w:p>
          <w:p w14:paraId="34480F71" w14:textId="77777777" w:rsidR="00B92893" w:rsidRPr="001519D1" w:rsidRDefault="00B92893" w:rsidP="000B1F92">
            <w:pPr>
              <w:jc w:val="center"/>
              <w:rPr>
                <w:rFonts w:ascii="Arial" w:hAnsi="Arial" w:cs="Arial"/>
              </w:rPr>
            </w:pPr>
            <w:r w:rsidRPr="001519D1">
              <w:rPr>
                <w:rFonts w:ascii="Arial" w:hAnsi="Arial" w:cs="Arial"/>
              </w:rPr>
              <w:t>12.2 Eu (10.1)</w:t>
            </w:r>
          </w:p>
          <w:p w14:paraId="4B8522DD" w14:textId="77777777" w:rsidR="00B92893" w:rsidRPr="001519D1" w:rsidRDefault="00B92893" w:rsidP="000B1F92">
            <w:pPr>
              <w:jc w:val="center"/>
              <w:rPr>
                <w:rFonts w:ascii="Arial" w:hAnsi="Arial" w:cs="Arial"/>
              </w:rPr>
            </w:pPr>
            <w:r w:rsidRPr="001519D1">
              <w:rPr>
                <w:rFonts w:ascii="Arial" w:hAnsi="Arial" w:cs="Arial"/>
              </w:rPr>
              <w:t>7.2 Mo (7.1)</w:t>
            </w:r>
          </w:p>
          <w:p w14:paraId="4D9756B2" w14:textId="77777777" w:rsidR="00B92893" w:rsidRPr="001519D1" w:rsidRDefault="00B92893" w:rsidP="000B1F92">
            <w:pPr>
              <w:jc w:val="center"/>
              <w:rPr>
                <w:rFonts w:ascii="Arial" w:hAnsi="Arial" w:cs="Arial"/>
              </w:rPr>
            </w:pPr>
            <w:r w:rsidRPr="001519D1">
              <w:rPr>
                <w:rFonts w:ascii="Arial" w:hAnsi="Arial" w:cs="Arial"/>
              </w:rPr>
              <w:t>25.5 O (25.3)</w:t>
            </w:r>
          </w:p>
        </w:tc>
      </w:tr>
      <w:tr w:rsidR="00B92893" w:rsidRPr="001519D1" w14:paraId="4CE48F56" w14:textId="77777777" w:rsidTr="0064187F">
        <w:trPr>
          <w:trHeight w:val="945"/>
          <w:jc w:val="center"/>
        </w:trPr>
        <w:tc>
          <w:tcPr>
            <w:tcW w:w="1402" w:type="dxa"/>
            <w:tcBorders>
              <w:top w:val="dotted" w:sz="12" w:space="0" w:color="auto"/>
              <w:bottom w:val="single" w:sz="4" w:space="0" w:color="auto"/>
            </w:tcBorders>
            <w:shd w:val="clear" w:color="auto" w:fill="auto"/>
            <w:vAlign w:val="center"/>
          </w:tcPr>
          <w:p w14:paraId="25ECE355" w14:textId="77777777" w:rsidR="00B92893" w:rsidRPr="001519D1" w:rsidRDefault="00B92893" w:rsidP="000B1F92">
            <w:pPr>
              <w:jc w:val="center"/>
              <w:rPr>
                <w:rFonts w:ascii="Arial" w:hAnsi="Arial" w:cs="Arial"/>
                <w:b/>
                <w:color w:val="808080" w:themeColor="background1" w:themeShade="80"/>
              </w:rPr>
            </w:pPr>
            <w:r w:rsidRPr="001519D1">
              <w:rPr>
                <w:rFonts w:ascii="Arial" w:hAnsi="Arial" w:cs="Arial"/>
                <w:b/>
                <w:color w:val="808080" w:themeColor="background1" w:themeShade="80"/>
              </w:rPr>
              <w:t>ZrEu</w:t>
            </w:r>
          </w:p>
        </w:tc>
        <w:tc>
          <w:tcPr>
            <w:tcW w:w="1292" w:type="dxa"/>
            <w:tcBorders>
              <w:top w:val="dotted" w:sz="12" w:space="0" w:color="auto"/>
              <w:bottom w:val="single" w:sz="4" w:space="0" w:color="auto"/>
            </w:tcBorders>
            <w:shd w:val="clear" w:color="auto" w:fill="auto"/>
            <w:vAlign w:val="center"/>
          </w:tcPr>
          <w:p w14:paraId="0BD9F299" w14:textId="77777777" w:rsidR="00B92893" w:rsidRPr="001519D1" w:rsidRDefault="00B92893" w:rsidP="000B1F92">
            <w:pPr>
              <w:jc w:val="center"/>
              <w:rPr>
                <w:rFonts w:ascii="Arial" w:hAnsi="Arial" w:cs="Arial"/>
                <w:color w:val="808080" w:themeColor="background1" w:themeShade="80"/>
              </w:rPr>
            </w:pPr>
            <w:r w:rsidRPr="001519D1">
              <w:rPr>
                <w:rFonts w:ascii="Arial" w:hAnsi="Arial" w:cs="Arial"/>
                <w:color w:val="808080" w:themeColor="background1" w:themeShade="80"/>
              </w:rPr>
              <w:t>45</w:t>
            </w:r>
          </w:p>
        </w:tc>
        <w:tc>
          <w:tcPr>
            <w:tcW w:w="1134" w:type="dxa"/>
            <w:tcBorders>
              <w:top w:val="dotted" w:sz="12" w:space="0" w:color="auto"/>
              <w:bottom w:val="single" w:sz="4" w:space="0" w:color="auto"/>
            </w:tcBorders>
            <w:shd w:val="clear" w:color="auto" w:fill="auto"/>
            <w:vAlign w:val="center"/>
          </w:tcPr>
          <w:p w14:paraId="433C8C55" w14:textId="77777777" w:rsidR="00B92893" w:rsidRPr="001519D1" w:rsidRDefault="00B92893" w:rsidP="000B1F92">
            <w:pPr>
              <w:jc w:val="center"/>
              <w:rPr>
                <w:rFonts w:ascii="Arial" w:hAnsi="Arial" w:cs="Arial"/>
                <w:color w:val="808080" w:themeColor="background1" w:themeShade="80"/>
              </w:rPr>
            </w:pPr>
            <w:r w:rsidRPr="001519D1">
              <w:rPr>
                <w:rFonts w:ascii="Arial" w:hAnsi="Arial" w:cs="Arial"/>
                <w:color w:val="808080" w:themeColor="background1" w:themeShade="80"/>
              </w:rPr>
              <w:t>0.02</w:t>
            </w:r>
          </w:p>
        </w:tc>
        <w:tc>
          <w:tcPr>
            <w:tcW w:w="992" w:type="dxa"/>
            <w:tcBorders>
              <w:top w:val="dotted" w:sz="12" w:space="0" w:color="auto"/>
              <w:bottom w:val="single" w:sz="4" w:space="0" w:color="auto"/>
            </w:tcBorders>
            <w:shd w:val="clear" w:color="auto" w:fill="auto"/>
            <w:vAlign w:val="center"/>
          </w:tcPr>
          <w:p w14:paraId="04E06DED" w14:textId="77777777" w:rsidR="00B92893" w:rsidRPr="001519D1" w:rsidRDefault="00B92893" w:rsidP="000B1F92">
            <w:pPr>
              <w:jc w:val="center"/>
              <w:rPr>
                <w:rFonts w:ascii="Arial" w:hAnsi="Arial" w:cs="Arial"/>
                <w:color w:val="808080" w:themeColor="background1" w:themeShade="80"/>
              </w:rPr>
            </w:pPr>
            <w:r w:rsidRPr="001519D1">
              <w:rPr>
                <w:rFonts w:ascii="Arial" w:hAnsi="Arial" w:cs="Arial"/>
                <w:color w:val="808080" w:themeColor="background1" w:themeShade="80"/>
              </w:rPr>
              <w:t>3.4</w:t>
            </w:r>
          </w:p>
        </w:tc>
        <w:tc>
          <w:tcPr>
            <w:tcW w:w="2126" w:type="dxa"/>
            <w:tcBorders>
              <w:top w:val="dotted" w:sz="12" w:space="0" w:color="auto"/>
              <w:bottom w:val="single" w:sz="4" w:space="0" w:color="auto"/>
            </w:tcBorders>
            <w:shd w:val="clear" w:color="auto" w:fill="auto"/>
            <w:vAlign w:val="center"/>
          </w:tcPr>
          <w:p w14:paraId="30E5D6CB" w14:textId="77777777" w:rsidR="00B92893" w:rsidRPr="001519D1" w:rsidRDefault="00B92893" w:rsidP="000B1F92">
            <w:pPr>
              <w:keepNext/>
              <w:jc w:val="center"/>
              <w:rPr>
                <w:rFonts w:ascii="Arial" w:hAnsi="Arial" w:cs="Arial"/>
                <w:color w:val="808080" w:themeColor="background1" w:themeShade="80"/>
              </w:rPr>
            </w:pPr>
            <w:r w:rsidRPr="001519D1">
              <w:rPr>
                <w:rFonts w:ascii="Arial" w:hAnsi="Arial" w:cs="Arial"/>
                <w:color w:val="808080" w:themeColor="background1" w:themeShade="80"/>
              </w:rPr>
              <w:t>62.7 Zr (64.3)</w:t>
            </w:r>
          </w:p>
          <w:p w14:paraId="7C6DFE56" w14:textId="77777777" w:rsidR="00B92893" w:rsidRPr="001519D1" w:rsidRDefault="00B92893" w:rsidP="000B1F92">
            <w:pPr>
              <w:keepNext/>
              <w:jc w:val="center"/>
              <w:rPr>
                <w:rFonts w:ascii="Arial" w:hAnsi="Arial" w:cs="Arial"/>
                <w:color w:val="808080" w:themeColor="background1" w:themeShade="80"/>
              </w:rPr>
            </w:pPr>
            <w:r w:rsidRPr="001519D1">
              <w:rPr>
                <w:rFonts w:ascii="Arial" w:hAnsi="Arial" w:cs="Arial"/>
                <w:color w:val="808080" w:themeColor="background1" w:themeShade="80"/>
              </w:rPr>
              <w:t>12.8 Eu (11.3)</w:t>
            </w:r>
          </w:p>
          <w:p w14:paraId="22C32C38" w14:textId="77777777" w:rsidR="00B92893" w:rsidRPr="001519D1" w:rsidRDefault="00B92893" w:rsidP="000B1F92">
            <w:pPr>
              <w:keepNext/>
              <w:jc w:val="center"/>
              <w:rPr>
                <w:rFonts w:ascii="Arial" w:hAnsi="Arial" w:cs="Arial"/>
                <w:color w:val="808080" w:themeColor="background1" w:themeShade="80"/>
              </w:rPr>
            </w:pPr>
            <w:r w:rsidRPr="001519D1">
              <w:rPr>
                <w:rFonts w:ascii="Arial" w:hAnsi="Arial" w:cs="Arial"/>
                <w:color w:val="808080" w:themeColor="background1" w:themeShade="80"/>
              </w:rPr>
              <w:t>0 Mo (0)</w:t>
            </w:r>
          </w:p>
          <w:p w14:paraId="3484274D" w14:textId="77777777" w:rsidR="00B92893" w:rsidRPr="001519D1" w:rsidRDefault="00B92893" w:rsidP="000B1F92">
            <w:pPr>
              <w:keepNext/>
              <w:jc w:val="center"/>
              <w:rPr>
                <w:rFonts w:ascii="Arial" w:hAnsi="Arial" w:cs="Arial"/>
                <w:color w:val="808080" w:themeColor="background1" w:themeShade="80"/>
              </w:rPr>
            </w:pPr>
            <w:r w:rsidRPr="001519D1">
              <w:rPr>
                <w:rFonts w:ascii="Arial" w:hAnsi="Arial" w:cs="Arial"/>
                <w:color w:val="808080" w:themeColor="background1" w:themeShade="80"/>
              </w:rPr>
              <w:t>24.50 O (24.4)</w:t>
            </w:r>
          </w:p>
        </w:tc>
      </w:tr>
      <w:tr w:rsidR="00B92893" w:rsidRPr="001519D1" w14:paraId="31D4FB62" w14:textId="77777777" w:rsidTr="0064187F">
        <w:trPr>
          <w:trHeight w:val="117"/>
          <w:jc w:val="center"/>
        </w:trPr>
        <w:tc>
          <w:tcPr>
            <w:tcW w:w="1402" w:type="dxa"/>
            <w:tcBorders>
              <w:top w:val="single" w:sz="4" w:space="0" w:color="auto"/>
            </w:tcBorders>
            <w:vAlign w:val="center"/>
          </w:tcPr>
          <w:p w14:paraId="775BB253" w14:textId="77777777" w:rsidR="00B92893" w:rsidRPr="001519D1" w:rsidRDefault="00B92893" w:rsidP="000B1F92">
            <w:pPr>
              <w:jc w:val="center"/>
              <w:rPr>
                <w:rFonts w:cstheme="minorHAnsi"/>
                <w:b/>
                <w:color w:val="808080" w:themeColor="background1" w:themeShade="80"/>
                <w:sz w:val="16"/>
                <w:szCs w:val="16"/>
              </w:rPr>
            </w:pPr>
          </w:p>
        </w:tc>
        <w:tc>
          <w:tcPr>
            <w:tcW w:w="1292" w:type="dxa"/>
            <w:tcBorders>
              <w:top w:val="single" w:sz="4" w:space="0" w:color="auto"/>
            </w:tcBorders>
            <w:vAlign w:val="center"/>
          </w:tcPr>
          <w:p w14:paraId="13D5236D" w14:textId="77777777" w:rsidR="00B92893" w:rsidRPr="001519D1" w:rsidRDefault="00B92893" w:rsidP="000B1F92">
            <w:pPr>
              <w:jc w:val="center"/>
              <w:rPr>
                <w:rFonts w:cstheme="minorHAnsi"/>
                <w:color w:val="808080" w:themeColor="background1" w:themeShade="80"/>
                <w:sz w:val="16"/>
                <w:szCs w:val="16"/>
              </w:rPr>
            </w:pPr>
          </w:p>
        </w:tc>
        <w:tc>
          <w:tcPr>
            <w:tcW w:w="1134" w:type="dxa"/>
            <w:tcBorders>
              <w:top w:val="single" w:sz="4" w:space="0" w:color="auto"/>
            </w:tcBorders>
            <w:vAlign w:val="center"/>
          </w:tcPr>
          <w:p w14:paraId="72BCB714" w14:textId="77777777" w:rsidR="00B92893" w:rsidRPr="001519D1" w:rsidRDefault="00B92893" w:rsidP="000B1F92">
            <w:pPr>
              <w:jc w:val="center"/>
              <w:rPr>
                <w:rFonts w:cstheme="minorHAnsi"/>
                <w:color w:val="808080" w:themeColor="background1" w:themeShade="80"/>
                <w:sz w:val="16"/>
                <w:szCs w:val="16"/>
              </w:rPr>
            </w:pPr>
          </w:p>
        </w:tc>
        <w:tc>
          <w:tcPr>
            <w:tcW w:w="992" w:type="dxa"/>
            <w:tcBorders>
              <w:top w:val="single" w:sz="4" w:space="0" w:color="auto"/>
            </w:tcBorders>
            <w:vAlign w:val="center"/>
          </w:tcPr>
          <w:p w14:paraId="4CC87A18" w14:textId="77777777" w:rsidR="00B92893" w:rsidRPr="001519D1" w:rsidRDefault="00B92893" w:rsidP="000B1F92">
            <w:pPr>
              <w:jc w:val="center"/>
              <w:rPr>
                <w:rFonts w:cstheme="minorHAnsi"/>
                <w:color w:val="808080" w:themeColor="background1" w:themeShade="80"/>
                <w:sz w:val="16"/>
                <w:szCs w:val="16"/>
              </w:rPr>
            </w:pPr>
          </w:p>
        </w:tc>
        <w:tc>
          <w:tcPr>
            <w:tcW w:w="2126" w:type="dxa"/>
            <w:tcBorders>
              <w:top w:val="single" w:sz="4" w:space="0" w:color="auto"/>
            </w:tcBorders>
            <w:vAlign w:val="center"/>
          </w:tcPr>
          <w:p w14:paraId="4200C010" w14:textId="77777777" w:rsidR="00B92893" w:rsidRPr="001519D1" w:rsidRDefault="00B92893" w:rsidP="000B1F92">
            <w:pPr>
              <w:keepNext/>
              <w:jc w:val="center"/>
              <w:rPr>
                <w:rFonts w:cstheme="minorHAnsi"/>
                <w:color w:val="808080" w:themeColor="background1" w:themeShade="80"/>
                <w:sz w:val="16"/>
                <w:szCs w:val="16"/>
              </w:rPr>
            </w:pPr>
          </w:p>
        </w:tc>
      </w:tr>
    </w:tbl>
    <w:p w14:paraId="52BCA2B6" w14:textId="77777777" w:rsidR="00B92893" w:rsidRPr="001519D1" w:rsidRDefault="00B92893" w:rsidP="00B92893">
      <w:pPr>
        <w:spacing w:after="0" w:line="360" w:lineRule="auto"/>
        <w:rPr>
          <w:rFonts w:ascii="Arial" w:hAnsi="Arial" w:cs="Arial"/>
          <w:lang w:val="en-US"/>
        </w:rPr>
      </w:pPr>
      <w:r w:rsidRPr="001519D1">
        <w:rPr>
          <w:rFonts w:ascii="Arial" w:hAnsi="Arial" w:cs="Arial"/>
          <w:lang w:val="en-US"/>
        </w:rPr>
        <w:t>*Nominal values between parentheses.</w:t>
      </w:r>
    </w:p>
    <w:p w14:paraId="29BAFE3B" w14:textId="77777777" w:rsidR="00B92893" w:rsidRPr="001519D1" w:rsidRDefault="00B92893" w:rsidP="00B92893">
      <w:pPr>
        <w:spacing w:after="0" w:line="360" w:lineRule="auto"/>
        <w:rPr>
          <w:rFonts w:ascii="Arial" w:hAnsi="Arial" w:cs="Arial"/>
          <w:lang w:val="en-US"/>
        </w:rPr>
      </w:pPr>
    </w:p>
    <w:p w14:paraId="05B7D64F" w14:textId="6F82DD67" w:rsidR="00B92893" w:rsidRPr="001519D1" w:rsidRDefault="00B92893" w:rsidP="00B92893">
      <w:pPr>
        <w:spacing w:after="0" w:line="360" w:lineRule="auto"/>
        <w:rPr>
          <w:rFonts w:ascii="Arial" w:hAnsi="Arial" w:cs="Arial"/>
          <w:lang w:val="en-US"/>
        </w:rPr>
      </w:pPr>
      <w:r w:rsidRPr="001519D1">
        <w:rPr>
          <w:rFonts w:ascii="Arial" w:hAnsi="Arial" w:cs="Arial"/>
          <w:lang w:val="en-US"/>
        </w:rPr>
        <w:t xml:space="preserve">The chemical composition of the ZrEuMo_x compounds determined by XRF (Table 1) shows a very small increase of Eu and Mo content at the expense of Zr percentage in all studied composition range. However, the order of magnitude is preserved and the trend of the increment of the Mo amount </w:t>
      </w:r>
      <w:r w:rsidR="00C1272A" w:rsidRPr="001519D1">
        <w:rPr>
          <w:rFonts w:ascii="Arial" w:hAnsi="Arial" w:cs="Arial"/>
          <w:lang w:val="en-US"/>
        </w:rPr>
        <w:t>follows</w:t>
      </w:r>
      <w:r w:rsidRPr="001519D1">
        <w:rPr>
          <w:rFonts w:ascii="Arial" w:hAnsi="Arial" w:cs="Arial"/>
          <w:lang w:val="en-US"/>
        </w:rPr>
        <w:t xml:space="preserve"> the targeted one. Since the XRF analysis shows an appropriate chemical composition of the synthesized compounds but the XRD does not exhibit any evidence of the presence of the molybdenum dopant, a XPS analysis was carried out according to the hypothesis of MoO</w:t>
      </w:r>
      <w:r w:rsidRPr="001519D1">
        <w:rPr>
          <w:rFonts w:ascii="Arial" w:hAnsi="Arial" w:cs="Arial"/>
          <w:vertAlign w:val="subscript"/>
          <w:lang w:val="en-US"/>
        </w:rPr>
        <w:t>x</w:t>
      </w:r>
      <w:r w:rsidRPr="001519D1">
        <w:rPr>
          <w:rFonts w:ascii="Arial" w:hAnsi="Arial" w:cs="Arial"/>
          <w:lang w:val="en-US"/>
        </w:rPr>
        <w:t xml:space="preserve"> phase formation on the mixed oxide surface. On analy</w:t>
      </w:r>
      <w:r w:rsidR="00C1272A" w:rsidRPr="001519D1">
        <w:rPr>
          <w:rFonts w:ascii="Arial" w:hAnsi="Arial" w:cs="Arial"/>
          <w:lang w:val="en-US"/>
        </w:rPr>
        <w:t>z</w:t>
      </w:r>
      <w:r w:rsidRPr="001519D1">
        <w:rPr>
          <w:rFonts w:ascii="Arial" w:hAnsi="Arial" w:cs="Arial"/>
          <w:lang w:val="en-US"/>
        </w:rPr>
        <w:t xml:space="preserve">ing the bulk-to-surface atomic composition of the ZrEuMo_x samples important differences are revealed. Figure 5 plots the Mo/Zr, Mo/Eu and Eu/Zr atomic ratios for each ionic conductor (ZrEuMo_x, x = 5, 7 and 10) calculated by XRF, stating thereby the bulk composition, and by XPS showing the surface composition. As can be seen in figure 5c the Eu/Zr ratio measured by XRF is constant whatever the molybdenum content as it should be expected considering that the synthesis procedure fixes a Zr:Eu constant 95:5 molar ratio and that this composition results in a homogeneous solid solution. However, the surface Eu/Zr ratio is noticeable lower than the observed one for the solid solution bulk composition. This indicates either a surface segregation of zirconium cations or that Eu atoms have been selectively covered by Mo, then reducing its surface concentration (Figure 5c). On the </w:t>
      </w:r>
      <w:r w:rsidRPr="001519D1">
        <w:rPr>
          <w:rFonts w:ascii="Arial" w:hAnsi="Arial" w:cs="Arial"/>
          <w:lang w:val="en-US"/>
        </w:rPr>
        <w:lastRenderedPageBreak/>
        <w:t xml:space="preserve">contrary, the Mo/Zr surface ratio and bulk ratio are equal within the experimental error (Figure 5a), this ratio increases on increasing the amount of Mo as it should be expected. Figure 5b plots the Mo/Eu surface and bulk ratios, on increasing the Mo content both ratios increase but the higher slope of the surface ratio points to an increase of the Mo surface content at the expenses of Eu surface concentration. The differences increase on increasing the Mo loading. Therefore, it may be </w:t>
      </w:r>
      <w:r w:rsidR="00C1272A" w:rsidRPr="001519D1">
        <w:rPr>
          <w:rFonts w:ascii="Arial" w:hAnsi="Arial" w:cs="Arial"/>
          <w:lang w:val="en-US"/>
        </w:rPr>
        <w:t>hypothesized</w:t>
      </w:r>
      <w:r w:rsidRPr="001519D1">
        <w:rPr>
          <w:rFonts w:ascii="Arial" w:hAnsi="Arial" w:cs="Arial"/>
          <w:lang w:val="en-US"/>
        </w:rPr>
        <w:t xml:space="preserve"> that molybdenum atoms sit preferentially on surface europium atoms of the solid solution. These observations evidence the idea of a surface segregation of the molybdenum phase on the Zr-Eu solid solution earlier proposed by XRD analysis.</w:t>
      </w:r>
    </w:p>
    <w:p w14:paraId="3CD40E7A" w14:textId="77777777" w:rsidR="00D53BDE" w:rsidRPr="001519D1" w:rsidRDefault="00D53BDE" w:rsidP="00B92893">
      <w:pPr>
        <w:spacing w:after="0" w:line="360" w:lineRule="auto"/>
        <w:rPr>
          <w:rFonts w:ascii="Arial" w:hAnsi="Arial" w:cs="Arial"/>
          <w:lang w:val="en-US"/>
        </w:rPr>
      </w:pPr>
    </w:p>
    <w:p w14:paraId="5017354C" w14:textId="77777777" w:rsidR="00D53BDE" w:rsidRPr="001519D1" w:rsidRDefault="00B92893" w:rsidP="00D53BDE">
      <w:pPr>
        <w:keepNext/>
        <w:spacing w:after="0" w:line="360" w:lineRule="auto"/>
      </w:pPr>
      <w:r w:rsidRPr="001519D1">
        <w:rPr>
          <w:rFonts w:ascii="Arial" w:hAnsi="Arial" w:cs="Arial"/>
          <w:noProof/>
          <w:lang w:val="es-ES" w:eastAsia="es-ES"/>
        </w:rPr>
        <w:drawing>
          <wp:inline distT="0" distB="0" distL="0" distR="0" wp14:anchorId="09C9EEAB" wp14:editId="22D5C866">
            <wp:extent cx="2552700" cy="3315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7355" cy="3347258"/>
                    </a:xfrm>
                    <a:prstGeom prst="rect">
                      <a:avLst/>
                    </a:prstGeom>
                    <a:noFill/>
                  </pic:spPr>
                </pic:pic>
              </a:graphicData>
            </a:graphic>
          </wp:inline>
        </w:drawing>
      </w:r>
    </w:p>
    <w:p w14:paraId="78A54300" w14:textId="6A8EE8D0" w:rsidR="00B92893" w:rsidRPr="001519D1" w:rsidRDefault="00D53BDE" w:rsidP="00D53BDE">
      <w:pPr>
        <w:pStyle w:val="Descripcin"/>
        <w:rPr>
          <w:rFonts w:ascii="Arial" w:hAnsi="Arial" w:cs="Arial"/>
          <w:i w:val="0"/>
          <w:iCs w:val="0"/>
          <w:color w:val="auto"/>
          <w:sz w:val="22"/>
          <w:szCs w:val="22"/>
          <w:lang w:val="es-ES"/>
        </w:rPr>
      </w:pPr>
      <w:r w:rsidRPr="001519D1">
        <w:rPr>
          <w:rFonts w:ascii="Arial" w:hAnsi="Arial" w:cs="Arial"/>
          <w:i w:val="0"/>
          <w:iCs w:val="0"/>
          <w:color w:val="auto"/>
          <w:sz w:val="22"/>
          <w:szCs w:val="22"/>
          <w:lang w:val="en-US"/>
        </w:rPr>
        <w:t xml:space="preserve">Figure </w:t>
      </w:r>
      <w:r w:rsidRPr="001519D1">
        <w:rPr>
          <w:rFonts w:ascii="Arial" w:hAnsi="Arial" w:cs="Arial"/>
          <w:i w:val="0"/>
          <w:iCs w:val="0"/>
          <w:color w:val="auto"/>
          <w:sz w:val="22"/>
          <w:szCs w:val="22"/>
        </w:rPr>
        <w:fldChar w:fldCharType="begin"/>
      </w:r>
      <w:r w:rsidRPr="001519D1">
        <w:rPr>
          <w:rFonts w:ascii="Arial" w:hAnsi="Arial" w:cs="Arial"/>
          <w:i w:val="0"/>
          <w:iCs w:val="0"/>
          <w:color w:val="auto"/>
          <w:sz w:val="22"/>
          <w:szCs w:val="22"/>
          <w:lang w:val="en-US"/>
        </w:rPr>
        <w:instrText xml:space="preserve"> SEQ Figure \* ARABIC </w:instrText>
      </w:r>
      <w:r w:rsidRPr="001519D1">
        <w:rPr>
          <w:rFonts w:ascii="Arial" w:hAnsi="Arial" w:cs="Arial"/>
          <w:i w:val="0"/>
          <w:iCs w:val="0"/>
          <w:color w:val="auto"/>
          <w:sz w:val="22"/>
          <w:szCs w:val="22"/>
        </w:rPr>
        <w:fldChar w:fldCharType="separate"/>
      </w:r>
      <w:r w:rsidR="00AB59A7" w:rsidRPr="001519D1">
        <w:rPr>
          <w:rFonts w:ascii="Arial" w:hAnsi="Arial" w:cs="Arial"/>
          <w:i w:val="0"/>
          <w:iCs w:val="0"/>
          <w:noProof/>
          <w:color w:val="auto"/>
          <w:sz w:val="22"/>
          <w:szCs w:val="22"/>
          <w:lang w:val="en-US"/>
        </w:rPr>
        <w:t>5</w:t>
      </w:r>
      <w:r w:rsidRPr="001519D1">
        <w:rPr>
          <w:rFonts w:ascii="Arial" w:hAnsi="Arial" w:cs="Arial"/>
          <w:i w:val="0"/>
          <w:iCs w:val="0"/>
          <w:color w:val="auto"/>
          <w:sz w:val="22"/>
          <w:szCs w:val="22"/>
        </w:rPr>
        <w:fldChar w:fldCharType="end"/>
      </w:r>
      <w:r w:rsidRPr="001519D1">
        <w:rPr>
          <w:rFonts w:ascii="Arial" w:hAnsi="Arial" w:cs="Arial"/>
          <w:i w:val="0"/>
          <w:iCs w:val="0"/>
          <w:color w:val="auto"/>
          <w:sz w:val="22"/>
          <w:szCs w:val="22"/>
          <w:lang w:val="en-US"/>
        </w:rPr>
        <w:t>.</w:t>
      </w:r>
      <w:r w:rsidRPr="001519D1">
        <w:rPr>
          <w:rFonts w:ascii="Arial" w:hAnsi="Arial" w:cs="Arial"/>
          <w:i w:val="0"/>
          <w:iCs w:val="0"/>
          <w:noProof/>
          <w:color w:val="auto"/>
          <w:sz w:val="22"/>
          <w:szCs w:val="22"/>
          <w:lang w:val="en-US"/>
        </w:rPr>
        <w:t xml:space="preserve"> Atomic ratios in the bulk analysed by XRF and in the surface analysed by XPS for all ZrEuMo_x samples (where x shows the nominal amount of MoO</w:t>
      </w:r>
      <w:r w:rsidRPr="001519D1">
        <w:rPr>
          <w:rFonts w:ascii="Arial" w:hAnsi="Arial" w:cs="Arial"/>
          <w:i w:val="0"/>
          <w:iCs w:val="0"/>
          <w:noProof/>
          <w:color w:val="auto"/>
          <w:sz w:val="22"/>
          <w:szCs w:val="22"/>
          <w:vertAlign w:val="subscript"/>
          <w:lang w:val="en-US"/>
        </w:rPr>
        <w:t>3</w:t>
      </w:r>
      <w:r w:rsidRPr="001519D1">
        <w:rPr>
          <w:rFonts w:ascii="Arial" w:hAnsi="Arial" w:cs="Arial"/>
          <w:i w:val="0"/>
          <w:iCs w:val="0"/>
          <w:noProof/>
          <w:color w:val="auto"/>
          <w:sz w:val="22"/>
          <w:szCs w:val="22"/>
          <w:lang w:val="en-US"/>
        </w:rPr>
        <w:t xml:space="preserve">, x= 5, 7 and 10 mol.%). </w:t>
      </w:r>
      <w:r w:rsidRPr="001519D1">
        <w:rPr>
          <w:rFonts w:ascii="Arial" w:hAnsi="Arial" w:cs="Arial"/>
          <w:i w:val="0"/>
          <w:iCs w:val="0"/>
          <w:noProof/>
          <w:color w:val="auto"/>
          <w:sz w:val="22"/>
          <w:szCs w:val="22"/>
          <w:lang w:val="es-ES"/>
        </w:rPr>
        <w:t>(a) Mo/Zr ratio, (b) Mo/Eu ratio and (c) Eu/Zr ratio.</w:t>
      </w:r>
    </w:p>
    <w:p w14:paraId="770860F1" w14:textId="77777777" w:rsidR="00B92893" w:rsidRPr="001519D1" w:rsidRDefault="00B92893" w:rsidP="00B92893">
      <w:pPr>
        <w:spacing w:after="0" w:line="360" w:lineRule="auto"/>
        <w:rPr>
          <w:rFonts w:ascii="Arial" w:hAnsi="Arial" w:cs="Arial"/>
          <w:lang w:val="es-ES"/>
        </w:rPr>
      </w:pPr>
    </w:p>
    <w:p w14:paraId="177BE6D4" w14:textId="55542D8A" w:rsidR="00B92893" w:rsidRPr="001519D1" w:rsidRDefault="00B92893" w:rsidP="00B92893">
      <w:pPr>
        <w:spacing w:after="0" w:line="360" w:lineRule="auto"/>
        <w:rPr>
          <w:rFonts w:ascii="Arial" w:hAnsi="Arial" w:cs="Arial"/>
          <w:lang w:val="en-US"/>
        </w:rPr>
      </w:pPr>
      <w:r w:rsidRPr="001519D1">
        <w:rPr>
          <w:rFonts w:ascii="Arial" w:hAnsi="Arial" w:cs="Arial"/>
          <w:lang w:val="en-US"/>
        </w:rPr>
        <w:t xml:space="preserve">In </w:t>
      </w:r>
      <w:r w:rsidR="00C1272A" w:rsidRPr="001519D1">
        <w:rPr>
          <w:rFonts w:ascii="Arial" w:hAnsi="Arial" w:cs="Arial"/>
          <w:lang w:val="en-US"/>
        </w:rPr>
        <w:t xml:space="preserve">the </w:t>
      </w:r>
      <w:r w:rsidRPr="001519D1">
        <w:rPr>
          <w:rFonts w:ascii="Arial" w:hAnsi="Arial" w:cs="Arial"/>
          <w:lang w:val="en-US"/>
        </w:rPr>
        <w:t>light of the exposed results, it can be concluded that the used synthesis method results in a homogeneous Eu-doped zirconia solid solution in which a homogeneous oxygen vacancies distribution is expected. On adding Mo, a surface segregated molybdenum phase appears on top of the Zr-Eu solid solution whose crystalline structure is not altered. This Mo oxide phase may vary from isolated tetrahedral [MoO</w:t>
      </w:r>
      <w:r w:rsidRPr="001519D1">
        <w:rPr>
          <w:rFonts w:ascii="Arial" w:hAnsi="Arial" w:cs="Arial"/>
          <w:vertAlign w:val="subscript"/>
          <w:lang w:val="en-US"/>
        </w:rPr>
        <w:t>4</w:t>
      </w:r>
      <w:r w:rsidRPr="001519D1">
        <w:rPr>
          <w:rFonts w:ascii="Arial" w:hAnsi="Arial" w:cs="Arial"/>
          <w:lang w:val="en-US"/>
        </w:rPr>
        <w:t>]</w:t>
      </w:r>
      <w:r w:rsidRPr="001519D1">
        <w:rPr>
          <w:rFonts w:ascii="Arial" w:hAnsi="Arial" w:cs="Arial"/>
          <w:vertAlign w:val="superscript"/>
          <w:lang w:val="en-US"/>
        </w:rPr>
        <w:t>2-</w:t>
      </w:r>
      <w:r w:rsidRPr="001519D1">
        <w:rPr>
          <w:rFonts w:ascii="Arial" w:hAnsi="Arial" w:cs="Arial"/>
          <w:lang w:val="en-US"/>
        </w:rPr>
        <w:t>, octahedral polymolybdates ([Mo</w:t>
      </w:r>
      <w:r w:rsidRPr="001519D1">
        <w:rPr>
          <w:rFonts w:ascii="Arial" w:hAnsi="Arial" w:cs="Arial"/>
          <w:vertAlign w:val="subscript"/>
          <w:lang w:val="en-US"/>
        </w:rPr>
        <w:t>7</w:t>
      </w:r>
      <w:r w:rsidRPr="001519D1">
        <w:rPr>
          <w:rFonts w:ascii="Arial" w:hAnsi="Arial" w:cs="Arial"/>
          <w:lang w:val="en-US"/>
        </w:rPr>
        <w:t>O</w:t>
      </w:r>
      <w:r w:rsidRPr="001519D1">
        <w:rPr>
          <w:rFonts w:ascii="Arial" w:hAnsi="Arial" w:cs="Arial"/>
          <w:vertAlign w:val="subscript"/>
          <w:lang w:val="en-US"/>
        </w:rPr>
        <w:t>24</w:t>
      </w:r>
      <w:r w:rsidRPr="001519D1">
        <w:rPr>
          <w:rFonts w:ascii="Arial" w:hAnsi="Arial" w:cs="Arial"/>
          <w:lang w:val="en-US"/>
        </w:rPr>
        <w:t>]</w:t>
      </w:r>
      <w:r w:rsidRPr="001519D1">
        <w:rPr>
          <w:rFonts w:ascii="Arial" w:hAnsi="Arial" w:cs="Arial"/>
          <w:vertAlign w:val="superscript"/>
          <w:lang w:val="en-US"/>
        </w:rPr>
        <w:t>6-</w:t>
      </w:r>
      <w:r w:rsidRPr="001519D1">
        <w:rPr>
          <w:rFonts w:ascii="Arial" w:hAnsi="Arial" w:cs="Arial"/>
          <w:lang w:val="en-US"/>
        </w:rPr>
        <w:t xml:space="preserve"> and/or [Mo</w:t>
      </w:r>
      <w:r w:rsidRPr="001519D1">
        <w:rPr>
          <w:rFonts w:ascii="Arial" w:hAnsi="Arial" w:cs="Arial"/>
          <w:vertAlign w:val="subscript"/>
          <w:lang w:val="en-US"/>
        </w:rPr>
        <w:t>8</w:t>
      </w:r>
      <w:r w:rsidRPr="001519D1">
        <w:rPr>
          <w:rFonts w:ascii="Arial" w:hAnsi="Arial" w:cs="Arial"/>
          <w:lang w:val="en-US"/>
        </w:rPr>
        <w:t>O</w:t>
      </w:r>
      <w:r w:rsidRPr="001519D1">
        <w:rPr>
          <w:rFonts w:ascii="Arial" w:hAnsi="Arial" w:cs="Arial"/>
          <w:vertAlign w:val="subscript"/>
          <w:lang w:val="en-US"/>
        </w:rPr>
        <w:t>26</w:t>
      </w:r>
      <w:r w:rsidRPr="001519D1">
        <w:rPr>
          <w:rFonts w:ascii="Arial" w:hAnsi="Arial" w:cs="Arial"/>
          <w:lang w:val="en-US"/>
        </w:rPr>
        <w:t>]</w:t>
      </w:r>
      <w:r w:rsidRPr="001519D1">
        <w:rPr>
          <w:rFonts w:ascii="Arial" w:hAnsi="Arial" w:cs="Arial"/>
          <w:vertAlign w:val="superscript"/>
          <w:lang w:val="en-US"/>
        </w:rPr>
        <w:t>4-</w:t>
      </w:r>
      <w:r w:rsidRPr="001519D1">
        <w:rPr>
          <w:rFonts w:ascii="Arial" w:hAnsi="Arial" w:cs="Arial"/>
          <w:lang w:val="en-US"/>
        </w:rPr>
        <w:t>), clusters formation till α-MoO</w:t>
      </w:r>
      <w:r w:rsidRPr="001519D1">
        <w:rPr>
          <w:rFonts w:ascii="Arial" w:hAnsi="Arial" w:cs="Arial"/>
          <w:vertAlign w:val="subscript"/>
          <w:lang w:val="en-US"/>
        </w:rPr>
        <w:t>3</w:t>
      </w:r>
      <w:r w:rsidRPr="001519D1">
        <w:rPr>
          <w:rFonts w:ascii="Arial" w:hAnsi="Arial" w:cs="Arial"/>
          <w:lang w:val="en-US"/>
        </w:rPr>
        <w:t xml:space="preserve"> monolayer formation for high loadings</w:t>
      </w:r>
      <w:r w:rsidR="007441A1" w:rsidRPr="001519D1">
        <w:rPr>
          <w:rFonts w:ascii="Arial" w:hAnsi="Arial" w:cs="Arial"/>
          <w:lang w:val="en-US"/>
        </w:rPr>
        <w:t xml:space="preserve"> </w:t>
      </w:r>
      <w:r w:rsidR="007441A1"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"author" : [ { "dropping-particle" : "", "family" : "Chippindale", "given" : "A.M.", "non-dropping-particle" : "", "parse-names" : false, "suffix" : "" }, { "dropping-particle" : "", "family" : "Cheetham", "given" : "A.K.", "non-dropping-particle" : "", "parse-names" : false, "suffix" : "" } ], "chapter-number" : "3", "container-title" : "Molybdenum: An Outline of its Chemistry and Uses", "editor" : [ { "dropping-particle" : "", "family" : "Braithwaite", "given" : "E.R.", "non-dropping-particle" : "", "parse-names" : false, "suffix" : "" }, { "dropping-particle" : "", "family" : "Haber", "given" : "J.", "non-dropping-particle" : "", "parse-names" : false, "suffix" : "" } ], "id" : "ITEM-1", "issued" : { "date-parts" : [ [ "1994" ] ] }, "page" : "146-184", "publisher" : "Elsevier Science B.V", "publisher-place" : "The Netherlands", "title" : "Chapter 3. The oxide chemistry of molybdenum", "type" : "chapter" }, "uris" : [ "http://www.mendeley.com/documents/?uuid=a9e89ca1-9910-4f65-a84f-d7a690b638cc" ] }, { "id" : "ITEM-2", "itemData" : { "DOI" : "10.1021/jp103269w", "ISBN" : "1932-7447", "ISSN" : "1932-7447", "abstract" : "UV\u2212vis diffuse reflectance spectroscopy (DRS) and Raman spectroscopy were used to examine the electronic and molecular structures, respectively, of well-defined Mo(VI) bulk mixed oxide reference compounds ((i) isolated MoO4 or MoO6 monomers, (ii) dimeric O3Mo\u2212O\u2212MoO3, (iii) chains of alternating MoO4 and MoO6 units, (iv) MoO6-coordinated Mo7\u2212Mo12 clusters, and (v) infinite layered sheets of MoO5 units), aqueous molybdate anions as a function of solution pH, and supported MoO3 catalysts (MoO3/SiO2, MoO3/Al2O3, and MoO3/ZrO2). Raman spectroscopy confirmed the identity and phase purity of the different bulk and solution molybdenum oxide structures. UV\u2212vis DRS provided the corresponding electronic edge energy (Eg) of the ligand-to-metal charge transfer (LMCT) transitions of the Mo(VI) cations. A linear inverse correlation was found between Eg and the number of bridging Mo\u2212O\u2212Mo covalent bonds around the central Mo(VI) cation. A relationship between Eg and the domain size (NMo) for finite MoOx clusters, however, was not found to exist. Application of the above insights allowed for the determination of the molecular structures of the two-dimensional surface MoOx species present in supported MoO3 catalysts as a function of environmental conditions. The current electronic and molecular structural findings are critical for subsequent studies that wish to establish reliable structure\u2212activity/selectivity relationships for molybdenum oxide catalysts, especially supported MoO3 catalysts.", "author" : [ { "dropping-particle" : "", "family" : "Tian", "given" : "Hanjing", "non-dropping-particle" : "", "parse-names" : false, "suffix" : "" }, { "dropping-particle" : "", "family" : "Roberts", "given" : "Charles A.", "non-dropping-particle" : "", "parse-names" : false, "suffix" : "" }, { "dropping-particle" : "", "family" : "Wachs", "given" : "Israel E.", "non-dropping-particle" : "", "parse-names" : false, "suffix" : "" } ], "container-title" : "Journal of Physical Chemistry C", "id" : "ITEM-2", "issue" : "2", "issued" : { "date-parts" : [ [ "2010" ] ] }, "page" : "14110-14120", "title" : "Molecular Structural Determination of Molybdena in Different Environments: Aqueous Solutions, Bulk Mixed Oxides, and Supported MoO3 Catalysts", "type" : "article-journal", "volume" : "114" }, "uris" : [ "http://www.mendeley.com/documents/?uuid=0daf5c5a-2403-4f27-8bda-f4bf90acaae3" ] }, { "id" : "ITEM-3", "itemData" : { "DOI" : "10.1021/la9707134", "ISSN" : "07437463", "abstract" : "The evolution of the dispersed surface molybdate phase on high-surface-area magnesium oxide is studied as a function of weight loading of MoO3 and calcination temperature using in situ Mo L3-edge X-ray absorption near edge spectroscopy, in situ laser Raman spectroscopy, and thermogravimetry\u2212mass spectroscopy. Under ambient, hydrated conditions, the magnesium support is present as magnesium hydroxide, rather than MgO, and the molybdate species is present on the surface as an isolated tetrahedral species for weight loadings of 5\u221220 wt % MoO3. Under these hydrated conditions the form of the molybdate species is controlled by the net surface pH at the point of zero charge and is the same as that observed in aqueous solution. As the catalyst is calcined in air, the molybdate species transforms from a tetrahedral species, MoO4, to an octahedral one, MoO6. This transformation occurs at the same temperature, \u223c450 \u00b0C, as that at which the support changes from hydroxide to oxide. This transformation temperature is independent of the MoO3 loading. It is suggested that it is this support-induced structural change that drives the change in the form of the surface molybdate species and not the desorption of adsorbed water.", "author" : [ { "dropping-particle" : "", "family" : "Bare", "given" : "Simon R.", "non-dropping-particle" : "", "parse-names" : false, "suffix" : "" } ], "container-title" : "Langmuir", "id" : "ITEM-3", "issue" : "6", "issued" : { "date-parts" : [ [ "1998" ] ] }, "page" : "1500-1504", "title" : "Surface Structure of Highly Dispersed MoO3 on MgO Using in Situ Mo L3-Edge XANES", "type" : "article-journal", "volume" : "14" }, "uris" : [ "http://www.mendeley.com/documents/?uuid=fcee2b00-07b8-4f4f-9335-a6c3c0fd1e94" ] }, { "id" : "ITEM-4", "itemData" : { "DOI" : "10.1021/cm052433c", "ISSN" : "0897-4756", "abstract" : "Binary mixed-oxide materials based on MoO 3 -ZrO 2 (1-68 wt/wt MoO 3 nominal content) were prepared by a sol-gel method. The samples were characterized after calcination at 873 K by X-ray diffraction, Raman, UV-vis, and infrared spectroscopy. An increase in the molybdenum content produces an increase in the surface area up to ca. 140 m 2 g -1 for a nominal MoO 3 content of ca. 20 wt/wt. Simultaneously, the progressive generation of Br\u00f6nsted acid sites attributed to the presence of surface polymolybdate species takes place. The Zr(MoO 4) 2 crystalline phase coexists with polymolybdate species for catalysts with a nominal MoO 3 content higher than 20 wt/wt. These samples show a lower surface area, but the number of Br\u00f6nsted acid sites per unit of surface area remains almost constant up to ca. 30 wt/wt MoO 3 content. A relationship between the structure of molybdenum surface species, the surface acidity determined by the adsorption of 2,6-dimethylpyridine, and the catalytic behavior of materials in the 2-propanol dehydration are reported.", "author" : [ { "dropping-particle" : "", "family" : "Samaranch", "given" : "B\u00e1rbara", "non-dropping-particle" : "", "parse-names" : false, "suffix" : "" }, { "dropping-particle" : "", "family" : "Ram\u00edrez De La Piscina", "given" : "Pilar", "non-dropping-particle" : "", "parse-names" : false, "suffix" : "" }, { "dropping-particle" : "", "family" : "Clet", "given" : "Guillaume", "non-dropping-particle" : "", "parse-names" : false, "suffix" : "" }, { "dropping-particle" : "", "family" : "Houalla", "given" : "Marwan", "non-dropping-particle" : "", "parse-names" : false, "suffix" : "" }, { "dropping-particle" : "", "family" : "Homs", "given" : "Narc\u00eds", "non-dropping-particle" : "", "parse-names" : false, "suffix" : "" } ], "container-title" : "Chemistry of Materials", "id" : "ITEM-4", "issue" : "1", "issued" : { "date-parts" : [ [ "2006" ] ] }, "page" : "1581-1586", "title" : "Study of the Structure, Acidic, and Catalytic Properties of Binary Mixed-Oxide MoO3-ZrO2 Systems", "type" : "article-journal", "volume" : "18" }, "uris" : [ "http://www.mendeley.com/documents/?uuid=915fa122-57f7-4325-83bc-2df91296dab0" ] } ], "mendeley" : { "formattedCitation" : "[22,48\u201350]", "plainTextFormattedCitation" : "[22,48\u201350]", "previouslyFormattedCitation" : "[22,48\u201350]" }, "properties" : { "noteIndex" : 0 }, "schema" : "https://github.com/citation-style-language/schema/raw/master/csl-citation.json" }</w:instrText>
      </w:r>
      <w:r w:rsidR="007441A1" w:rsidRPr="001519D1">
        <w:rPr>
          <w:rFonts w:ascii="Arial" w:hAnsi="Arial" w:cs="Arial"/>
          <w:lang w:val="en-US"/>
        </w:rPr>
        <w:fldChar w:fldCharType="separate"/>
      </w:r>
      <w:r w:rsidR="00C76F86" w:rsidRPr="001519D1">
        <w:rPr>
          <w:rFonts w:ascii="Arial" w:hAnsi="Arial" w:cs="Arial"/>
          <w:noProof/>
          <w:lang w:val="en-US"/>
        </w:rPr>
        <w:t>[22,48–50]</w:t>
      </w:r>
      <w:r w:rsidR="007441A1" w:rsidRPr="001519D1">
        <w:rPr>
          <w:rFonts w:ascii="Arial" w:hAnsi="Arial" w:cs="Arial"/>
          <w:lang w:val="en-US"/>
        </w:rPr>
        <w:fldChar w:fldCharType="end"/>
      </w:r>
      <w:r w:rsidR="007441A1" w:rsidRPr="001519D1">
        <w:rPr>
          <w:rFonts w:ascii="Arial" w:hAnsi="Arial" w:cs="Arial"/>
          <w:lang w:val="en-US"/>
        </w:rPr>
        <w:t>.</w:t>
      </w:r>
      <w:r w:rsidRPr="001519D1">
        <w:rPr>
          <w:rFonts w:ascii="Arial" w:hAnsi="Arial" w:cs="Arial"/>
          <w:lang w:val="en-US"/>
        </w:rPr>
        <w:t xml:space="preserve"> Chippindale and Cheetham</w:t>
      </w:r>
      <w:r w:rsidR="007441A1" w:rsidRPr="001519D1">
        <w:rPr>
          <w:rFonts w:ascii="Arial" w:hAnsi="Arial" w:cs="Arial"/>
          <w:lang w:val="en-US"/>
        </w:rPr>
        <w:t xml:space="preserve"> </w:t>
      </w:r>
      <w:r w:rsidR="007441A1" w:rsidRPr="001519D1">
        <w:rPr>
          <w:rFonts w:ascii="Arial" w:hAnsi="Arial" w:cs="Arial"/>
          <w:lang w:val="en-US"/>
        </w:rPr>
        <w:fldChar w:fldCharType="begin" w:fldLock="1"/>
      </w:r>
      <w:r w:rsidR="007441A1" w:rsidRPr="001519D1">
        <w:rPr>
          <w:rFonts w:ascii="Arial" w:hAnsi="Arial" w:cs="Arial"/>
          <w:lang w:val="en-US"/>
        </w:rPr>
        <w:instrText>ADDIN CSL_CITATION { "citationItems" : [ { "id" : "ITEM-1", "itemData" : { "author" : [ { "dropping-particle" : "", "family" : "Chippindale", "given" : "A.M.", "non-dropping-particle" : "", "parse-names" : false, "suffix" : "" }, { "dropping-particle" : "", "family" : "Cheetham", "given" : "A.K.", "non-dropping-particle" : "", "parse-names" : false, "suffix" : "" } ], "chapter-number" : "3", "container-title" : "Molybdenum: An Outline of its Chemistry and Uses", "editor" : [ { "dropping-particle" : "", "family" : "Braithwaite", "given" : "E.R.", "non-dropping-particle" : "", "parse-names" : false, "suffix" : "" }, { "dropping-particle" : "", "family" : "Haber", "given" : "J.", "non-dropping-particle" : "", "parse-names" : false, "suffix" : "" } ], "id" : "ITEM-1", "issued" : { "date-parts" : [ [ "1994" ] ] }, "page" : "146-184", "publisher" : "Elsevier Science B.V", "publisher-place" : "The Netherlands", "title" : "Chapter 3. The oxide chemistry of molybdenum", "type" : "chapter" }, "uris" : [ "http://www.mendeley.com/documents/?uuid=a9e89ca1-9910-4f65-a84f-d7a690b638cc" ] } ], "mendeley" : { "formattedCitation" : "[22]", "plainTextFormattedCitation" : "[22]", "previouslyFormattedCitation" : "[22]" }, "properties" : { "noteIndex" : 0 }, "schema" : "https://github.com/citation-style-language/schema/raw/master/csl-citation.json" }</w:instrText>
      </w:r>
      <w:r w:rsidR="007441A1" w:rsidRPr="001519D1">
        <w:rPr>
          <w:rFonts w:ascii="Arial" w:hAnsi="Arial" w:cs="Arial"/>
          <w:lang w:val="en-US"/>
        </w:rPr>
        <w:fldChar w:fldCharType="separate"/>
      </w:r>
      <w:r w:rsidR="007441A1" w:rsidRPr="001519D1">
        <w:rPr>
          <w:rFonts w:ascii="Arial" w:hAnsi="Arial" w:cs="Arial"/>
          <w:noProof/>
          <w:lang w:val="en-US"/>
        </w:rPr>
        <w:t>[22]</w:t>
      </w:r>
      <w:r w:rsidR="007441A1" w:rsidRPr="001519D1">
        <w:rPr>
          <w:rFonts w:ascii="Arial" w:hAnsi="Arial" w:cs="Arial"/>
          <w:lang w:val="en-US"/>
        </w:rPr>
        <w:fldChar w:fldCharType="end"/>
      </w:r>
      <w:r w:rsidRPr="001519D1">
        <w:rPr>
          <w:rFonts w:ascii="Arial" w:hAnsi="Arial" w:cs="Arial"/>
          <w:lang w:val="en-US"/>
        </w:rPr>
        <w:t xml:space="preserve"> using a synthesis procedure similar to the one described in this work have reported paramolybdate species (</w:t>
      </w:r>
      <w:r w:rsidR="00D53BDE" w:rsidRPr="001519D1">
        <w:rPr>
          <w:rFonts w:ascii="Arial" w:hAnsi="Arial" w:cs="Arial"/>
          <w:lang w:val="en-US"/>
        </w:rPr>
        <w:t>[</w:t>
      </w:r>
      <w:r w:rsidRPr="001519D1">
        <w:rPr>
          <w:rFonts w:ascii="Arial" w:hAnsi="Arial" w:cs="Arial"/>
          <w:lang w:val="en-US"/>
        </w:rPr>
        <w:t>Mo</w:t>
      </w:r>
      <w:r w:rsidRPr="001519D1">
        <w:rPr>
          <w:rFonts w:ascii="Arial" w:hAnsi="Arial" w:cs="Arial"/>
          <w:vertAlign w:val="subscript"/>
          <w:lang w:val="en-US"/>
        </w:rPr>
        <w:t>7</w:t>
      </w:r>
      <w:r w:rsidRPr="001519D1">
        <w:rPr>
          <w:rFonts w:ascii="Arial" w:hAnsi="Arial" w:cs="Arial"/>
          <w:lang w:val="en-US"/>
        </w:rPr>
        <w:t>O</w:t>
      </w:r>
      <w:r w:rsidRPr="001519D1">
        <w:rPr>
          <w:rFonts w:ascii="Arial" w:hAnsi="Arial" w:cs="Arial"/>
          <w:vertAlign w:val="subscript"/>
          <w:lang w:val="en-US"/>
        </w:rPr>
        <w:t>24</w:t>
      </w:r>
      <w:r w:rsidR="00D53BDE" w:rsidRPr="001519D1">
        <w:rPr>
          <w:rFonts w:ascii="Arial" w:hAnsi="Arial" w:cs="Arial"/>
          <w:lang w:val="en-US"/>
        </w:rPr>
        <w:t>]</w:t>
      </w:r>
      <w:r w:rsidRPr="001519D1">
        <w:rPr>
          <w:rFonts w:ascii="Arial" w:hAnsi="Arial" w:cs="Arial"/>
          <w:vertAlign w:val="superscript"/>
          <w:lang w:val="en-US"/>
        </w:rPr>
        <w:t>6-</w:t>
      </w:r>
      <w:r w:rsidRPr="001519D1">
        <w:rPr>
          <w:rFonts w:ascii="Arial" w:hAnsi="Arial" w:cs="Arial"/>
          <w:lang w:val="en-US"/>
        </w:rPr>
        <w:t xml:space="preserve">) as the most </w:t>
      </w:r>
      <w:r w:rsidRPr="001519D1">
        <w:rPr>
          <w:rFonts w:ascii="Arial" w:hAnsi="Arial" w:cs="Arial"/>
          <w:lang w:val="en-US"/>
        </w:rPr>
        <w:lastRenderedPageBreak/>
        <w:t>convenient precursor for the preparation of α–MoO</w:t>
      </w:r>
      <w:r w:rsidRPr="001519D1">
        <w:rPr>
          <w:rFonts w:ascii="Arial" w:hAnsi="Arial" w:cs="Arial"/>
          <w:vertAlign w:val="subscript"/>
          <w:lang w:val="en-US"/>
        </w:rPr>
        <w:t>3</w:t>
      </w:r>
      <w:r w:rsidRPr="001519D1">
        <w:rPr>
          <w:rFonts w:ascii="Arial" w:hAnsi="Arial" w:cs="Arial"/>
          <w:lang w:val="en-US"/>
        </w:rPr>
        <w:t xml:space="preserve"> layers. In the same way, a MoO</w:t>
      </w:r>
      <w:r w:rsidRPr="001519D1">
        <w:rPr>
          <w:rFonts w:ascii="Arial" w:hAnsi="Arial" w:cs="Arial"/>
          <w:vertAlign w:val="subscript"/>
          <w:lang w:val="en-US"/>
        </w:rPr>
        <w:t>3</w:t>
      </w:r>
      <w:r w:rsidRPr="001519D1">
        <w:rPr>
          <w:rFonts w:ascii="Arial" w:hAnsi="Arial" w:cs="Arial"/>
          <w:lang w:val="en-US"/>
        </w:rPr>
        <w:t xml:space="preserve"> phase is formed above 300 ºC upon decomposition of heptamolybdate</w:t>
      </w:r>
      <w:r w:rsidR="007441A1" w:rsidRPr="001519D1">
        <w:rPr>
          <w:rFonts w:ascii="Arial" w:hAnsi="Arial" w:cs="Arial"/>
          <w:lang w:val="en-US"/>
        </w:rPr>
        <w:t xml:space="preserve"> </w:t>
      </w:r>
      <w:r w:rsidR="007441A1"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"ISBN" : "0444881980", "editor" : [ { "dropping-particle" : "", "family" : "Braithwaite", "given" : "E.R.", "non-dropping-particle" : "", "parse-names" : false, "suffix" : "" }, { "dropping-particle" : "", "family" : "Haber", "given" : "J.", "non-dropping-particle" : "", "parse-names" : false, "suffix" : "" } ], "id" : "ITEM-1", "issued" : { "date-parts" : [ [ "1994" ] ] }, "number-of-pages" : "662", "publisher" : "Elsevier Science B.V", "publisher-place" : "Amsterdam", "title" : "Molybdenum: An Outline of its Chemistry and Uses", "type" : "book" }, "uris" : [ "http://www.mendeley.com/documents/?uuid=3d3006c8-3445-4414-a538-f60ac1ded8e8" ] } ], "mendeley" : { "formattedCitation" : "[51]", "plainTextFormattedCitation" : "[51]", "previouslyFormattedCitation" : "[51]" }, "properties" : { "noteIndex" : 0 }, "schema" : "https://github.com/citation-style-language/schema/raw/master/csl-citation.json" }</w:instrText>
      </w:r>
      <w:r w:rsidR="007441A1" w:rsidRPr="001519D1">
        <w:rPr>
          <w:rFonts w:ascii="Arial" w:hAnsi="Arial" w:cs="Arial"/>
          <w:lang w:val="en-US"/>
        </w:rPr>
        <w:fldChar w:fldCharType="separate"/>
      </w:r>
      <w:r w:rsidR="00C76F86" w:rsidRPr="001519D1">
        <w:rPr>
          <w:rFonts w:ascii="Arial" w:hAnsi="Arial" w:cs="Arial"/>
          <w:noProof/>
          <w:lang w:val="en-US"/>
        </w:rPr>
        <w:t>[51]</w:t>
      </w:r>
      <w:r w:rsidR="007441A1" w:rsidRPr="001519D1">
        <w:rPr>
          <w:rFonts w:ascii="Arial" w:hAnsi="Arial" w:cs="Arial"/>
          <w:lang w:val="en-US"/>
        </w:rPr>
        <w:fldChar w:fldCharType="end"/>
      </w:r>
      <w:r w:rsidR="007441A1" w:rsidRPr="001519D1">
        <w:rPr>
          <w:rFonts w:ascii="Arial" w:hAnsi="Arial" w:cs="Arial"/>
          <w:lang w:val="en-US"/>
        </w:rPr>
        <w:t>.</w:t>
      </w:r>
      <w:r w:rsidRPr="001519D1">
        <w:rPr>
          <w:rFonts w:ascii="Arial" w:hAnsi="Arial" w:cs="Arial"/>
          <w:lang w:val="en-US"/>
        </w:rPr>
        <w:t xml:space="preserve"> </w:t>
      </w:r>
    </w:p>
    <w:p w14:paraId="07530E70" w14:textId="77777777" w:rsidR="00B92893" w:rsidRPr="001519D1" w:rsidRDefault="00B92893" w:rsidP="00B92893">
      <w:pPr>
        <w:spacing w:after="0" w:line="360" w:lineRule="auto"/>
        <w:rPr>
          <w:rFonts w:ascii="Arial" w:hAnsi="Arial" w:cs="Arial"/>
          <w:lang w:val="en-US"/>
        </w:rPr>
      </w:pPr>
    </w:p>
    <w:p w14:paraId="185D93BD" w14:textId="1C97808C" w:rsidR="00B92893" w:rsidRPr="001519D1" w:rsidRDefault="00B92893" w:rsidP="00B92893">
      <w:pPr>
        <w:spacing w:after="0" w:line="360" w:lineRule="auto"/>
        <w:rPr>
          <w:rFonts w:ascii="Arial" w:hAnsi="Arial" w:cs="Arial"/>
          <w:lang w:val="en-US"/>
        </w:rPr>
      </w:pPr>
      <w:r w:rsidRPr="001519D1">
        <w:rPr>
          <w:rFonts w:ascii="Arial" w:hAnsi="Arial" w:cs="Arial"/>
          <w:lang w:val="en-US"/>
        </w:rPr>
        <w:t xml:space="preserve">Similar systems have been studied by several authors. For instance, Hu </w:t>
      </w:r>
      <w:r w:rsidRPr="001519D1">
        <w:rPr>
          <w:rFonts w:ascii="Arial" w:hAnsi="Arial" w:cs="Arial"/>
          <w:i/>
          <w:iCs/>
          <w:lang w:val="en-US"/>
        </w:rPr>
        <w:t>et al</w:t>
      </w:r>
      <w:r w:rsidRPr="001519D1">
        <w:rPr>
          <w:rFonts w:ascii="Arial" w:hAnsi="Arial" w:cs="Arial"/>
          <w:lang w:val="en-US"/>
        </w:rPr>
        <w:t>.</w:t>
      </w:r>
      <w:r w:rsidR="007441A1" w:rsidRPr="001519D1">
        <w:rPr>
          <w:rFonts w:ascii="Arial" w:hAnsi="Arial" w:cs="Arial"/>
          <w:lang w:val="en-US"/>
        </w:rPr>
        <w:t xml:space="preserve"> </w:t>
      </w:r>
      <w:r w:rsidR="007441A1"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"10.1021/j100027a034", "ISBN" : "0022-3654", "ISSN" : "0022-3654", "abstract" : "Supported molybdenum oxide catalysts on Ti02, A1203,Zr02, Si02, and Nb20~ were prepared by the incipient- wetness impregnation method employing aqueous solutions of ammonium heptamolybdate ((w)6- M07024-4H20). The molecular structures of the surface molybdenum oxide species were investigated by Raman spectroscopy, and their local site symmetries were determined by X-ray absorption near-edge spectroscopy (XANES) at the Mo L3-edge. Under ambient conditions, the structures of the hydrated surface molybdenum oxide species are controlled by the net surface pH at the point of zero charge (PZC) and are the same as observed in aqueous solutions: M004~-, M070&amp;, and MosOza4-. Under dehydrated conditions, the structures of the surface molybdenum oxide species depend on both the specific oxide support and surface coverage. At low surface coverages of MOO3 on A1203 and TiO2, the primary species is isolated and tetrahedral coordinated. At high surface coverages of Moos, for Ti02 the primary species is polymerized and octahedral coordinated, but for A1203 there is a mixture of tetrahedral and octahedral coordinated species. The Moos/ ZrO2 system appears to be similar to the MoO3/A1203 system, and the Mo03/Nb205 system appears to be similar to the Mo03/TiO2 system. The surface molybdenum oxide species on Si02 is isolated and appears to possess a coordination that is in between tetrahedral and octahedral. Monolayer coverage was achieved at the same surface density of molybdenum oxide on the different oxide supports with the exception of SiO2. Only low loadings of molybdenum oxide can be dispersed on Si02 due to the low concentration and reactivity of the surface OH groups.", "author" : [ { "dropping-particle" : "", "family" : "Hu", "given" : "Hangchun", "non-dropping-particle" : "", "parse-names" : false, "suffix" : "" }, { "dropping-particle" : "", "family" : "Wachs", "given" : "Israel E.", "non-dropping-particle" : "", "parse-names" : false, "suffix" : "" }, { "dropping-particle" : "", "family" : "Bare", "given" : "Simon R.", "non-dropping-particle" : "", "parse-names" : false, "suffix" : "" } ], "container-title" : "The Journal of Physical Chemistry", "id" : "ITEM-1", "issue" : "27", "issued" : { "date-parts" : [ [ "1995" ] ] }, "page" : "10897-10910", "title" : "Surface Structures of Supported Molybdenum Oxide Catalysts: Characterization by Raman and Mo L3-Edge XANES", "type" : "article-journal", "volume" : "99" }, "uris" : [ "http://www.mendeley.com/documents/?uuid=5bb4436a-e94f-4476-b862-f8069c5d1bb7" ] } ], "mendeley" : { "formattedCitation" : "[52]", "plainTextFormattedCitation" : "[52]", "previouslyFormattedCitation" : "[52]" }, "properties" : { "noteIndex" : 0 }, "schema" : "https://github.com/citation-style-language/schema/raw/master/csl-citation.json" }</w:instrText>
      </w:r>
      <w:r w:rsidR="007441A1" w:rsidRPr="001519D1">
        <w:rPr>
          <w:rFonts w:ascii="Arial" w:hAnsi="Arial" w:cs="Arial"/>
          <w:lang w:val="en-US"/>
        </w:rPr>
        <w:fldChar w:fldCharType="separate"/>
      </w:r>
      <w:r w:rsidR="00C76F86" w:rsidRPr="001519D1">
        <w:rPr>
          <w:rFonts w:ascii="Arial" w:hAnsi="Arial" w:cs="Arial"/>
          <w:noProof/>
          <w:lang w:val="en-US"/>
        </w:rPr>
        <w:t>[52]</w:t>
      </w:r>
      <w:r w:rsidR="007441A1" w:rsidRPr="001519D1">
        <w:rPr>
          <w:rFonts w:ascii="Arial" w:hAnsi="Arial" w:cs="Arial"/>
          <w:lang w:val="en-US"/>
        </w:rPr>
        <w:fldChar w:fldCharType="end"/>
      </w:r>
      <w:r w:rsidRPr="001519D1">
        <w:rPr>
          <w:rFonts w:ascii="Arial" w:hAnsi="Arial" w:cs="Arial"/>
          <w:lang w:val="en-US"/>
        </w:rPr>
        <w:t xml:space="preserve"> have studied by Raman spectroscopy and EXAFS the different phases formed upon impregnation of an ammonium heptamolybdate solution on different supports like ZrO</w:t>
      </w:r>
      <w:r w:rsidRPr="001519D1">
        <w:rPr>
          <w:rFonts w:ascii="Arial" w:hAnsi="Arial" w:cs="Arial"/>
          <w:vertAlign w:val="subscript"/>
          <w:lang w:val="en-US"/>
        </w:rPr>
        <w:t>2</w:t>
      </w:r>
      <w:r w:rsidRPr="001519D1">
        <w:rPr>
          <w:rFonts w:ascii="Arial" w:hAnsi="Arial" w:cs="Arial"/>
          <w:lang w:val="en-US"/>
        </w:rPr>
        <w:t xml:space="preserve"> as a function of Mo loading. They observed that the support nature, its isoelectric point and the solution pH affect the nature of the supported phase, which may result in octahedral (MoO</w:t>
      </w:r>
      <w:r w:rsidRPr="001519D1">
        <w:rPr>
          <w:rFonts w:ascii="Arial" w:hAnsi="Arial" w:cs="Arial"/>
          <w:vertAlign w:val="subscript"/>
          <w:lang w:val="en-US"/>
        </w:rPr>
        <w:t>x</w:t>
      </w:r>
      <w:r w:rsidRPr="001519D1">
        <w:rPr>
          <w:rFonts w:ascii="Arial" w:hAnsi="Arial" w:cs="Arial"/>
          <w:lang w:val="en-US"/>
        </w:rPr>
        <w:t xml:space="preserve"> phase) or tetrahedral (hydrated molybdates) structures; however, they could not observe any influence of the preparation method. The Mo oxides supported on ZrO</w:t>
      </w:r>
      <w:r w:rsidRPr="001519D1">
        <w:rPr>
          <w:rFonts w:ascii="Arial" w:hAnsi="Arial" w:cs="Arial"/>
          <w:vertAlign w:val="subscript"/>
          <w:lang w:val="en-US"/>
        </w:rPr>
        <w:t>2</w:t>
      </w:r>
      <w:r w:rsidRPr="001519D1">
        <w:rPr>
          <w:rFonts w:ascii="Arial" w:hAnsi="Arial" w:cs="Arial"/>
          <w:lang w:val="en-US"/>
        </w:rPr>
        <w:t xml:space="preserve"> in Hu’s work exhibit isolated tetrahedral structures (MoO</w:t>
      </w:r>
      <w:r w:rsidRPr="001519D1">
        <w:rPr>
          <w:rFonts w:ascii="Arial" w:hAnsi="Arial" w:cs="Arial"/>
          <w:vertAlign w:val="subscript"/>
          <w:lang w:val="en-US"/>
        </w:rPr>
        <w:t>4</w:t>
      </w:r>
      <w:r w:rsidRPr="001519D1">
        <w:rPr>
          <w:rFonts w:ascii="Arial" w:hAnsi="Arial" w:cs="Arial"/>
          <w:vertAlign w:val="superscript"/>
          <w:lang w:val="en-US"/>
        </w:rPr>
        <w:t>2-</w:t>
      </w:r>
      <w:r w:rsidRPr="001519D1">
        <w:rPr>
          <w:rFonts w:ascii="Arial" w:hAnsi="Arial" w:cs="Arial"/>
          <w:lang w:val="en-US"/>
        </w:rPr>
        <w:t xml:space="preserve"> in aqueous solution) for low loadings and high pH values, but octahedral ordering for high amounts of Mo. For these authors a ca. 4 wt.% of MoO</w:t>
      </w:r>
      <w:r w:rsidRPr="001519D1">
        <w:rPr>
          <w:rFonts w:ascii="Arial" w:hAnsi="Arial" w:cs="Arial"/>
          <w:vertAlign w:val="subscript"/>
          <w:lang w:val="en-US"/>
        </w:rPr>
        <w:t>3</w:t>
      </w:r>
      <w:r w:rsidRPr="001519D1">
        <w:rPr>
          <w:rFonts w:ascii="Arial" w:hAnsi="Arial" w:cs="Arial"/>
          <w:lang w:val="en-US"/>
        </w:rPr>
        <w:t xml:space="preserve"> is required to create a monolayer coverage on ZrO</w:t>
      </w:r>
      <w:r w:rsidRPr="001519D1">
        <w:rPr>
          <w:rFonts w:ascii="Arial" w:hAnsi="Arial" w:cs="Arial"/>
          <w:vertAlign w:val="subscript"/>
          <w:lang w:val="en-US"/>
        </w:rPr>
        <w:t>2</w:t>
      </w:r>
      <w:r w:rsidRPr="001519D1">
        <w:rPr>
          <w:rFonts w:ascii="Arial" w:hAnsi="Arial" w:cs="Arial"/>
          <w:lang w:val="en-US"/>
        </w:rPr>
        <w:t>. This loading results in surface structures that present Raman signals corresponding to crystalline MoO</w:t>
      </w:r>
      <w:r w:rsidRPr="001519D1">
        <w:rPr>
          <w:rFonts w:ascii="Arial" w:hAnsi="Arial" w:cs="Arial"/>
          <w:vertAlign w:val="subscript"/>
          <w:lang w:val="en-US"/>
        </w:rPr>
        <w:t>3</w:t>
      </w:r>
      <w:r w:rsidRPr="001519D1">
        <w:rPr>
          <w:rFonts w:ascii="Arial" w:hAnsi="Arial" w:cs="Arial"/>
          <w:lang w:val="en-US"/>
        </w:rPr>
        <w:t>. This loading accounts for a Mo density of ca. 4,5 Mo atoms/nm</w:t>
      </w:r>
      <w:r w:rsidRPr="001519D1">
        <w:rPr>
          <w:rFonts w:ascii="Arial" w:hAnsi="Arial" w:cs="Arial"/>
          <w:vertAlign w:val="superscript"/>
          <w:lang w:val="en-US"/>
        </w:rPr>
        <w:t>2</w:t>
      </w:r>
      <w:r w:rsidRPr="001519D1">
        <w:rPr>
          <w:rFonts w:ascii="Arial" w:hAnsi="Arial" w:cs="Arial"/>
          <w:lang w:val="en-US"/>
        </w:rPr>
        <w:t>. A slightly higher Mo loading (5 Mo atoms/nm</w:t>
      </w:r>
      <w:r w:rsidRPr="001519D1">
        <w:rPr>
          <w:rFonts w:ascii="Arial" w:hAnsi="Arial" w:cs="Arial"/>
          <w:vertAlign w:val="superscript"/>
          <w:lang w:val="en-US"/>
        </w:rPr>
        <w:t>2</w:t>
      </w:r>
      <w:r w:rsidRPr="001519D1">
        <w:rPr>
          <w:rFonts w:ascii="Arial" w:hAnsi="Arial" w:cs="Arial"/>
          <w:lang w:val="en-US"/>
        </w:rPr>
        <w:t xml:space="preserve">) is determined by Xie </w:t>
      </w:r>
      <w:r w:rsidRPr="001519D1">
        <w:rPr>
          <w:rFonts w:ascii="Arial" w:hAnsi="Arial" w:cs="Arial"/>
          <w:i/>
          <w:iCs/>
          <w:lang w:val="en-US"/>
        </w:rPr>
        <w:t>et al</w:t>
      </w:r>
      <w:r w:rsidRPr="001519D1">
        <w:rPr>
          <w:rFonts w:ascii="Arial" w:hAnsi="Arial" w:cs="Arial"/>
          <w:lang w:val="en-US"/>
        </w:rPr>
        <w:t>.</w:t>
      </w:r>
      <w:r w:rsidR="007441A1" w:rsidRPr="001519D1">
        <w:rPr>
          <w:rFonts w:ascii="Arial" w:hAnsi="Arial" w:cs="Arial"/>
          <w:lang w:val="en-US"/>
        </w:rPr>
        <w:t xml:space="preserve"> </w:t>
      </w:r>
      <w:r w:rsidR="007441A1"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"10.1021/jp002419h", "ISSN" : "1520-6106", "abstract" : "X-ray diffraction and X-ray absorption and Raman spectroscopies were used to determine the structure of dispersed and crystalline structures in MoO x/ZrO 2 catalysts useful in the oxidative dehydrogenation of alkanes. The MoO x surface density on ZrO 2 was varied over a wide range (0.35-50 Mo/nm 2) by changing the Mo content (1-44 wt % MoO 3) and the treatment temperature (393-973 K). Raman spectra showed that MoO x/ ZrO 2 samples with low surface density (&lt;5 Mo/nm 2) treated at temperatures below 873 K initially contain isolated tetrahedral MoO x species; these species oligomerize to form two-dimensional structures with bridging Mo-O-Mo bonds as the surface density increased to values typical for a polymolybdate monolayer (\ufffd\ufffd+5 Mo/nm 2). An increase in surface density led to a shift in the v(Mo=O) Raman band to higher frequencies and to changes in the near-edge X-ray absorption spectra. Both of these are consistent with the growth of these polymolybdate domains with increasing Mo surface density, as also suggested by the concurrent decrease in the UV-visible absorption energy. Thermal treatment at 973 K led to the dissociation of Mo-O-Mo bonds and to the formation of tetragonal-pyramidal O=MoO 4 species. For MoO x/ZrO 2 samples with Mo surface densities greater than 5 Mo/nm 2, MoO 3 and Zr(MoO 4) 2 were detected by Raman and for larger crystallites also by X-ray diffraction. Treatment of these samples in air at 723 K led to the predominant formation of MoO 3, while higher temperatures led to a solid-state reaction between MoO 3 and ZrO 2 to form Zr(MoO 4) 2. This structural evolution was confirmed by the evolution of pre-edge and near edge features in the X-ray absorption spectra of these high surface density samples. Zr(MoO 4) 2 contains Mo 6+ cations in a distorted tetrahedral coordination with one oxygen bonded only to molybdenum and the other three shared by Zr and Mo atoms. The Raman bands observed for Zr(MoO 4) 2 at 750, 945, and 1003 cm -1 were assigned to v sym(O-Mo-O), v asym(O-Mo-O), and v(Mo=O) vibrational modes, respectively, based on the analysis of the Raman bands observed after 18O 2 exchange with lattice oxygen atoms. Bridging O atoms in Mo-O-Mo species exchanged with gas phase 18O 2 more readily than terminal Mo=O species. -\ufffd 2000 American Chemical Society", "author" : [ { "dropping-particle" : "", "family" : "Xie", "given" : "Shuibo", "non-dropping-particle" : "", "parse-names" : false, "suffix" : "" }, { "dropping-particle" : "", "family" : "Chen", "given" : "Kaidong", "non-dropping-particle" : "", "parse-names" : false, "suffix" : "" }, { "dropping-particle" : "", "family" : "Bell", "given" : "Alexis T.", "non-dropping-particle" : "", "parse-names" : false, "suffix" : "" }, { "dropping-particle" : "", "family" : "Iglesia", "given" : "Enrique", "non-dropping-particle" : "", "parse-names" : false, "suffix" : "" } ], "container-title" : "Journal of Physical Chemistry B", "id" : "ITEM-1", "issued" : { "date-parts" : [ [ "2000" ] ] }, "page" : "10059-10068", "title" : "Structural Characterization of Molybdenum Oxide Supported on Zirconia", "type" : "article-journal", "volume" : "104" }, "uris" : [ "http://www.mendeley.com/documents/?uuid=36b54a0d-e005-4349-81ec-4b644049866e" ] } ], "mendeley" : { "formattedCitation" : "[53]", "plainTextFormattedCitation" : "[53]", "previouslyFormattedCitation" : "[53]" }, "properties" : { "noteIndex" : 0 }, "schema" : "https://github.com/citation-style-language/schema/raw/master/csl-citation.json" }</w:instrText>
      </w:r>
      <w:r w:rsidR="007441A1" w:rsidRPr="001519D1">
        <w:rPr>
          <w:rFonts w:ascii="Arial" w:hAnsi="Arial" w:cs="Arial"/>
          <w:lang w:val="en-US"/>
        </w:rPr>
        <w:fldChar w:fldCharType="separate"/>
      </w:r>
      <w:r w:rsidR="00C76F86" w:rsidRPr="001519D1">
        <w:rPr>
          <w:rFonts w:ascii="Arial" w:hAnsi="Arial" w:cs="Arial"/>
          <w:noProof/>
          <w:lang w:val="en-US"/>
        </w:rPr>
        <w:t>[53]</w:t>
      </w:r>
      <w:r w:rsidR="007441A1" w:rsidRPr="001519D1">
        <w:rPr>
          <w:rFonts w:ascii="Arial" w:hAnsi="Arial" w:cs="Arial"/>
          <w:lang w:val="en-US"/>
        </w:rPr>
        <w:fldChar w:fldCharType="end"/>
      </w:r>
      <w:r w:rsidRPr="001519D1">
        <w:rPr>
          <w:rFonts w:ascii="Arial" w:hAnsi="Arial" w:cs="Arial"/>
          <w:lang w:val="en-US"/>
        </w:rPr>
        <w:t xml:space="preserve"> to form a MoO</w:t>
      </w:r>
      <w:r w:rsidRPr="001519D1">
        <w:rPr>
          <w:rFonts w:ascii="Arial" w:hAnsi="Arial" w:cs="Arial"/>
          <w:vertAlign w:val="subscript"/>
          <w:lang w:val="en-US"/>
        </w:rPr>
        <w:t>x</w:t>
      </w:r>
      <w:r w:rsidRPr="001519D1">
        <w:rPr>
          <w:rFonts w:ascii="Arial" w:hAnsi="Arial" w:cs="Arial"/>
          <w:lang w:val="en-US"/>
        </w:rPr>
        <w:t xml:space="preserve"> monolayer on ZrO</w:t>
      </w:r>
      <w:r w:rsidRPr="001519D1">
        <w:rPr>
          <w:rFonts w:ascii="Arial" w:hAnsi="Arial" w:cs="Arial"/>
          <w:vertAlign w:val="subscript"/>
          <w:lang w:val="en-US"/>
        </w:rPr>
        <w:t>2</w:t>
      </w:r>
      <w:r w:rsidRPr="001519D1">
        <w:rPr>
          <w:rFonts w:ascii="Arial" w:hAnsi="Arial" w:cs="Arial"/>
          <w:lang w:val="en-US"/>
        </w:rPr>
        <w:t>, which is in accordance with other authors</w:t>
      </w:r>
      <w:r w:rsidR="007441A1" w:rsidRPr="001519D1">
        <w:rPr>
          <w:rFonts w:ascii="Arial" w:hAnsi="Arial" w:cs="Arial"/>
          <w:lang w:val="en-US"/>
        </w:rPr>
        <w:t xml:space="preserve"> </w:t>
      </w:r>
      <w:r w:rsidR="007441A1"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"ISSN" : "00223654", "author" : [ { "dropping-particle" : "", "family" : "Matsuoka", "given" : "Yoshihito", "non-dropping-particle" : "", "parse-names" : false, "suffix" : "" }, { "dropping-particle" : "", "family" : "Niwa", "given" : "Miki", "non-dropping-particle" : "", "parse-names" : false, "suffix" : "" }, { "dropping-particle" : "", "family" : "Murakami", "given" : "Yuichi", "non-dropping-particle" : "", "parse-names" : false, "suffix" : "" } ], "container-title" : "J. Phys. Chem.", "id" : "ITEM-1", "issue" : "6", "issued" : { "date-parts" : [ [ "1990" ] ] }, "page" : "1477-1482", "title" : "Morphology of molybdena supported on various oxides and its activity for methanol oxidation", "type" : "article-journal", "volume" : "94" }, "uris" : [ "http://www.mendeley.com/documents/?uuid=8f8bdece-b253-457e-9727-aa790d8468b8" ] }, { "id" : "ITEM-2", "itemData" : { "DOI" : "10.1016/0166-9834(83)80133-X", "ISBN" : "9788578110796", "ISSN" : "01669834", "PMID" : "25246403", "abstract" : "Supported vanadium and molybdenum oxide catalysts were prepared by reaction of the corresponding acetylacetonate complex in a non-aqueous solution with the surface hydroxyl groups of the carrier. Continuous or batch adsorption of the metal acetylacetonate from toluene, as well as wet impregnation from ethanol, resulted in a uniform coverage of the support. The applied metal oxide was probably present on the surface as a monomolecular dispersion. When readsorption or reimpregnation from toluene was carried out with TiO2 as support, metal oxide crystallites were formed, which could readily be detected with laser Raman spectroscopy. Reimpregnation from ethanol led to a complete occupancy of the surface hydroxyl groups of the carrier without the formation of metal oxide multilayers or crystallites. ?? 1983.", "author" : [ { "dropping-particle" : "", "family" : "Hengstum", "given" : "A.J.", "non-dropping-particle" : "Van", "parse-names" : false, "suffix" : "" }, { "dropping-particle" : "", "family" : "Ommen", "given" : "J.G.", "non-dropping-particle" : "Van", "parse-names" : false, "suffix" : "" }, { "dropping-particle" : "", "family" : "Bosch", "given" : "H.", "non-dropping-particle" : "", "parse-names" : false, "suffix" : "" }, { "dropping-particle" : "", "family" : "Gellings", "given" : "P.J.", "non-dropping-particle" : "", "parse-names" : false, "suffix" : "" } ], "container-title" : "Applied Catalysis", "id" : "ITEM-2", "issue" : "2", "issued" : { "date-parts" : [ [ "1983" ] ] }, "page" : "207-217", "title" : "Preparation of supported vanadium and molybdenum oxide catalysts using metal acetylacetonate complexes", "type" : "article-journal", "volume" : "5" }, "uris" : [ "http://www.mendeley.com/documents/?uuid=186cc708-74a2-4d8e-97e0-dd57e0b13468" ] }, { "id" : "ITEM-3", "itemData" : { "DOI" : "10.1016/S0167-2991(09)60030-6", "ISBN" : "9780080960517", "ISSN" : "0167-2991", "PMID" : "1690", "abstract" : "TiO$ supported Moo3 2 nd WO have been prepared b , a ueous impregnation of low-ar a anatase (~10 m g- ) 2nd Degussa P-25 (55 m g- ) with aqueous solutions 3 P of molybdate and tungstate salts, followed by calcination: products have been characterised by temperature-programmed reduction (TPR), Laser Raman spectroscopy (LRS) and X-ray photoelectron spectroscopy (XPS). Reaction of Ti-OH groups on these supports with MoOCl , and the form of the variation of Mo/Ti and W/Ti XPS intensity ratios, lead to gstimates of MO and W contents corresponding to monolayers of MOO and WO adsorbed species, the surface Mo:Ti and W:Ti ratios being a littlg more t#an 0.5. Possible structures are suggested. The techniques employed provide evidence that with MOO contents between one and four monolayer equivalents a \"disordered MOO ' phase is formed. A corresponding phase in the case of WO has not been detectgd, but in both cases \"paracrystalline\" oxideXphases are seen at higher loadings: these cover. 2.5-20% of the monolayer surface and differ in their reducibility from the corresponding bulk oxides. A simple model is presented to account quantitatively for the variation in XPS intensity ratios with oxide content.", "author" : [ { "dropping-particle" : "", "family" : "Bond", "given" : "Geoffrey C.", "non-dropping-particle" : "", "parse-names" : false, "suffix" : "" }, { "dropping-particle" : "", "family" : "Flamerz", "given" : "Saad", "non-dropping-particle" : "", "parse-names" : false, "suffix" : "" }, { "dropping-particle" : "", "family" : "Wijk", "given" : "Lex", "non-dropping-particle" : "Van", "parse-names" : false, "suffix" : "" } ], "container-title" : "Catalysis Today", "id" : "ITEM-3", "issued" : { "date-parts" : [ [ "1987" ] ] }, "page" : "229-243", "title" : "Structure and reactivity of titania-supported molybdenum and tungsten oxides", "type" : "article-journal", "volume" : "1" }, "uris" : [ "http://www.mendeley.com/documents/?uuid=034eaa86-2ca3-44df-8370-38d981faa661" ] }, { "id" : "ITEM-4", "itemData" : { "DOI" : "10.1016/S0926-860X(96)00406-1", "ISSN" : "0926-860X", "abstract" : "Alumina supported molybdenum catalysts with variable loading and support particle size were prepared by the unconventional equilibrium adsorption in slurry MoO3/water. The method can be named either slurry impregnation method, SIM (when compared with impregnation in ammonium molybdate solution) or solvent assisted spreading, SAS (when compared with thermal spreading of MoO3). The maximum saturated adsorption loading achieved with alumina of surface area 172 m2 g\u22121 and particle size 0.16\u20130.32 mm was 14.4 wt% MoO3. No other crystalline phase beside \u03b3-Al2O3 was found in XRD spectra of the catalysts. The XPS surface ratio MoAl in oxide form and the thiophene hydrodesulphurization activity in sulphide form increased linearly with the overall composition up to saturated adsorption loading. The hydrodesulphurization activity of the SIMSAS catalysts of corresponding loading was comparable or better than the activity of conventional commercial MoO3Al2O3 catalyst. All this indicated that the monolayer type catalysts are obtained by SIMSAS method. The electron probe micro analysis of the SIMSAS catalyst prepared from extrudates (1.5 mm) confirmed uniform cross sectional distribution of molybdena. This proved that the SIMSAS method can be used not only for small support particles but also for usual extrudates or tablets. The relation and advantage of the SIMSAS method as compared with other methods of preparation of monolayer molybdena catalysts were discussed.", "author" : [ { "dropping-particle" : "", "family" : "Hillerov\u00e1", "given" : "E.", "non-dropping-particle" : "", "parse-names" : false, "suffix" : "" }, { "dropping-particle" : "", "family" : "Morishige", "given" : "H.", "non-dropping-particle" : "", "parse-names" : false, "suffix" : "" }, { "dropping-particle" : "", "family" : "Inamura", "given" : "K.", "non-dropping-particle" : "", "parse-names" : false, "suffix" : "" }, { "dropping-particle" : "", "family" : "Zdra\u017eil", "given" : "M.", "non-dropping-particle" : "", "parse-names" : false, "suffix" : "" } ], "container-title" : "Applied Catalysis A: General", "id" : "ITEM-4", "issue" : "1", "issued" : { "date-parts" : [ [ "1997" ] ] }, "page" : "1-17", "title" : "Formation of monolayer of molybdena over alumina by unconventional slurry impregnation or solvent assisted spreading method", "type" : "article-journal", "volume" : "156" }, "uris" : [ "http://www.mendeley.com/documents/?uuid=e2aad761-d58b-4398-856b-18dfcedff12e" ] } ], "mendeley" : { "formattedCitation" : "[54\u201357]", "plainTextFormattedCitation" : "[54\u201357]", "previouslyFormattedCitation" : "[54\u201357]" }, "properties" : { "noteIndex" : 0 }, "schema" : "https://github.com/citation-style-language/schema/raw/master/csl-citation.json" }</w:instrText>
      </w:r>
      <w:r w:rsidR="007441A1" w:rsidRPr="001519D1">
        <w:rPr>
          <w:rFonts w:ascii="Arial" w:hAnsi="Arial" w:cs="Arial"/>
          <w:lang w:val="en-US"/>
        </w:rPr>
        <w:fldChar w:fldCharType="separate"/>
      </w:r>
      <w:r w:rsidR="00C76F86" w:rsidRPr="001519D1">
        <w:rPr>
          <w:rFonts w:ascii="Arial" w:hAnsi="Arial" w:cs="Arial"/>
          <w:noProof/>
          <w:lang w:val="en-US"/>
        </w:rPr>
        <w:t>[54–57]</w:t>
      </w:r>
      <w:r w:rsidR="007441A1" w:rsidRPr="001519D1">
        <w:rPr>
          <w:rFonts w:ascii="Arial" w:hAnsi="Arial" w:cs="Arial"/>
          <w:lang w:val="en-US"/>
        </w:rPr>
        <w:fldChar w:fldCharType="end"/>
      </w:r>
      <w:r w:rsidR="007441A1" w:rsidRPr="001519D1">
        <w:rPr>
          <w:rFonts w:ascii="Arial" w:hAnsi="Arial" w:cs="Arial"/>
          <w:lang w:val="en-US"/>
        </w:rPr>
        <w:t>.</w:t>
      </w:r>
      <w:r w:rsidRPr="001519D1">
        <w:rPr>
          <w:rFonts w:ascii="Arial" w:hAnsi="Arial" w:cs="Arial"/>
          <w:lang w:val="en-US"/>
        </w:rPr>
        <w:t xml:space="preserve"> Chary </w:t>
      </w:r>
      <w:r w:rsidRPr="001519D1">
        <w:rPr>
          <w:rFonts w:ascii="Arial" w:hAnsi="Arial" w:cs="Arial"/>
          <w:i/>
          <w:iCs/>
          <w:lang w:val="en-US"/>
        </w:rPr>
        <w:t>et al</w:t>
      </w:r>
      <w:r w:rsidRPr="001519D1">
        <w:rPr>
          <w:rFonts w:ascii="Arial" w:hAnsi="Arial" w:cs="Arial"/>
          <w:lang w:val="en-US"/>
        </w:rPr>
        <w:t>.</w:t>
      </w:r>
      <w:r w:rsidR="007441A1" w:rsidRPr="001519D1">
        <w:rPr>
          <w:rFonts w:ascii="Arial" w:hAnsi="Arial" w:cs="Arial"/>
          <w:lang w:val="en-US"/>
        </w:rPr>
        <w:t xml:space="preserve"> </w:t>
      </w:r>
      <w:r w:rsidR="007441A1"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"10.1016/j.jcat.2004.04.028", "ISBN" : "9140271609", "ISSN" : "00219517", "abstract" : "MoO3/ZrO2 catalysts with different MoO3 loadings (2-12 wt%) were prepared by the wet impregnation method. These catalysts were characterized by various techniques, such as X-ray diffraction (XRD), temperature-programmed reduction (TPR), laser Raman spectroscopy (LRS), X-ray photoelectron spectroscopy (XPS), and temperature-programmed desorption of NH3 and the catalytic properties were evaluated for vapor-phase ammoxidation of toluene to benzonitrile. XRD patterns show the presence of crystalline MoO3 peaks above 6.6 wt% MoO3, which corresponds to the theoretical monolayer loading of MoO3 on the zirconia used in the present study. The TPR suggests that reduction of the catalysts occurs in two stages and indicates that the reducibility of the catalysts increases with increase in MoO3 loading up to 6.6 wt%. The acidity of the catalysts was also found to increase up to 6.6 wt% of molybdena loading and it does not increase much at higher loadings. Raman results show that the surface molybdate species are present in low-loading samples, while crystalline MoO3 bands are observed from 9 wt% of MoO3 and above loadings. XPS spectra showed that molybdenum was present at Mo 6- on all fresh samples. The Mo/Zr atomic ratio shows that the dispersion of molybdena is high below 6.6 wt% MoO3 and dispersion decreases at higher molybdena loadings. The catalytic activity of the catalysts during ammoxidation of toluene was found to increase with loading up to 6.6 wt% and did not change appreciably beyond this loading. ?? 2004 Elsevier Inc. All rights reserved.", "author" : [ { "dropping-particle" : "", "family" : "Chary", "given" : "Komandur V.R.", "non-dropping-particle" : "", "parse-names" : false, "suffix" : "" }, { "dropping-particle" : "", "family" : "Reddy", "given" : "Kondakindi Rajender", "non-dropping-particle" : "", "parse-names" : false, "suffix" : "" }, { "dropping-particle" : "", "family" : "Kishan", "given" : "Gurram", "non-dropping-particle" : "", "parse-names" : false, "suffix" : "" }, { "dropping-particle" : "", "family" : "Niemantsverdriet", "given" : "J.W.", "non-dropping-particle" : "", "parse-names" : false, "suffix" : "" }, { "dropping-particle" : "", "family" : "Mestl", "given" : "Gerhard", "non-dropping-particle" : "", "parse-names" : false, "suffix" : "" } ], "container-title" : "Journal of Catalysis", "id" : "ITEM-1", "issue" : "2", "issued" : { "date-parts" : [ [ "2004" ] ] }, "page" : "283-291", "title" : "Structure and catalytic properties of molybdenum oxide catalysts supported on zirconia", "type" : "article-journal", "volume" : "226" }, "uris" : [ "http://www.mendeley.com/documents/?uuid=6b6bc34f-65ab-466d-bf4e-252a0df3266e" ] } ], "mendeley" : { "formattedCitation" : "[42]", "plainTextFormattedCitation" : "[42]", "previouslyFormattedCitation" : "[42]" }, "properties" : { "noteIndex" : 0 }, "schema" : "https://github.com/citation-style-language/schema/raw/master/csl-citation.json" }</w:instrText>
      </w:r>
      <w:r w:rsidR="007441A1" w:rsidRPr="001519D1">
        <w:rPr>
          <w:rFonts w:ascii="Arial" w:hAnsi="Arial" w:cs="Arial"/>
          <w:lang w:val="en-US"/>
        </w:rPr>
        <w:fldChar w:fldCharType="separate"/>
      </w:r>
      <w:r w:rsidR="00C76F86" w:rsidRPr="001519D1">
        <w:rPr>
          <w:rFonts w:ascii="Arial" w:hAnsi="Arial" w:cs="Arial"/>
          <w:noProof/>
          <w:lang w:val="en-US"/>
        </w:rPr>
        <w:t>[42]</w:t>
      </w:r>
      <w:r w:rsidR="007441A1" w:rsidRPr="001519D1">
        <w:rPr>
          <w:rFonts w:ascii="Arial" w:hAnsi="Arial" w:cs="Arial"/>
          <w:lang w:val="en-US"/>
        </w:rPr>
        <w:fldChar w:fldCharType="end"/>
      </w:r>
      <w:r w:rsidR="007441A1" w:rsidRPr="001519D1">
        <w:rPr>
          <w:rFonts w:ascii="Arial" w:hAnsi="Arial" w:cs="Arial"/>
          <w:lang w:val="en-US"/>
        </w:rPr>
        <w:t>,</w:t>
      </w:r>
      <w:r w:rsidRPr="001519D1">
        <w:rPr>
          <w:rFonts w:ascii="Arial" w:hAnsi="Arial" w:cs="Arial"/>
          <w:lang w:val="en-US"/>
        </w:rPr>
        <w:t xml:space="preserve"> in a similar study with different loadings of MoO</w:t>
      </w:r>
      <w:r w:rsidRPr="001519D1">
        <w:rPr>
          <w:rFonts w:ascii="Arial" w:hAnsi="Arial" w:cs="Arial"/>
          <w:vertAlign w:val="subscript"/>
          <w:lang w:val="en-US"/>
        </w:rPr>
        <w:t>3</w:t>
      </w:r>
      <w:r w:rsidRPr="001519D1">
        <w:rPr>
          <w:rFonts w:ascii="Arial" w:hAnsi="Arial" w:cs="Arial"/>
          <w:lang w:val="en-US"/>
        </w:rPr>
        <w:t xml:space="preserve"> on ZrO</w:t>
      </w:r>
      <w:r w:rsidRPr="001519D1">
        <w:rPr>
          <w:rFonts w:ascii="Arial" w:hAnsi="Arial" w:cs="Arial"/>
          <w:vertAlign w:val="subscript"/>
          <w:lang w:val="en-US"/>
        </w:rPr>
        <w:t>2</w:t>
      </w:r>
      <w:r w:rsidRPr="001519D1">
        <w:rPr>
          <w:rFonts w:ascii="Arial" w:hAnsi="Arial" w:cs="Arial"/>
          <w:lang w:val="en-US"/>
        </w:rPr>
        <w:t>, reports a 6,6 wt.% of MoO</w:t>
      </w:r>
      <w:r w:rsidRPr="001519D1">
        <w:rPr>
          <w:rFonts w:ascii="Arial" w:hAnsi="Arial" w:cs="Arial"/>
          <w:vertAlign w:val="subscript"/>
          <w:lang w:val="en-US"/>
        </w:rPr>
        <w:t>3</w:t>
      </w:r>
      <w:r w:rsidRPr="001519D1">
        <w:rPr>
          <w:rFonts w:ascii="Arial" w:hAnsi="Arial" w:cs="Arial"/>
          <w:lang w:val="en-US"/>
        </w:rPr>
        <w:t xml:space="preserve"> as necessary to complete a monolayer. All these values are close to the 0.16 wt.% of MoO</w:t>
      </w:r>
      <w:r w:rsidRPr="001519D1">
        <w:rPr>
          <w:rFonts w:ascii="Arial" w:hAnsi="Arial" w:cs="Arial"/>
          <w:vertAlign w:val="subscript"/>
          <w:lang w:val="en-US"/>
        </w:rPr>
        <w:t>3</w:t>
      </w:r>
      <w:r w:rsidRPr="001519D1">
        <w:rPr>
          <w:rFonts w:ascii="Arial" w:hAnsi="Arial" w:cs="Arial"/>
          <w:lang w:val="en-US"/>
        </w:rPr>
        <w:t xml:space="preserve"> per m</w:t>
      </w:r>
      <w:r w:rsidRPr="001519D1">
        <w:rPr>
          <w:rFonts w:ascii="Arial" w:hAnsi="Arial" w:cs="Arial"/>
          <w:vertAlign w:val="superscript"/>
          <w:lang w:val="en-US"/>
        </w:rPr>
        <w:t>2</w:t>
      </w:r>
      <w:r w:rsidRPr="001519D1">
        <w:rPr>
          <w:rFonts w:ascii="Arial" w:hAnsi="Arial" w:cs="Arial"/>
          <w:lang w:val="en-US"/>
        </w:rPr>
        <w:t xml:space="preserve"> of support proposed by Van Hengstum </w:t>
      </w:r>
      <w:r w:rsidRPr="001519D1">
        <w:rPr>
          <w:rFonts w:ascii="Arial" w:hAnsi="Arial" w:cs="Arial"/>
          <w:i/>
          <w:iCs/>
          <w:lang w:val="en-US"/>
        </w:rPr>
        <w:t>et al</w:t>
      </w:r>
      <w:r w:rsidRPr="001519D1">
        <w:rPr>
          <w:rFonts w:ascii="Arial" w:hAnsi="Arial" w:cs="Arial"/>
          <w:lang w:val="en-US"/>
        </w:rPr>
        <w:t>.</w:t>
      </w:r>
      <w:r w:rsidR="007441A1" w:rsidRPr="001519D1">
        <w:rPr>
          <w:rFonts w:ascii="Arial" w:hAnsi="Arial" w:cs="Arial"/>
          <w:lang w:val="en-US"/>
        </w:rPr>
        <w:t xml:space="preserve"> </w:t>
      </w:r>
      <w:r w:rsidR="007441A1"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"10.1016/0166-9834(83)80133-X", "ISBN" : "9788578110796", "ISSN" : "01669834", "PMID" : "25246403", "abstract" : "Supported vanadium and molybdenum oxide catalysts were prepared by reaction of the corresponding acetylacetonate complex in a non-aqueous solution with the surface hydroxyl groups of the carrier. Continuous or batch adsorption of the metal acetylacetonate from toluene, as well as wet impregnation from ethanol, resulted in a uniform coverage of the support. The applied metal oxide was probably present on the surface as a monomolecular dispersion. When readsorption or reimpregnation from toluene was carried out with TiO2 as support, metal oxide crystallites were formed, which could readily be detected with laser Raman spectroscopy. Reimpregnation from ethanol led to a complete occupancy of the surface hydroxyl groups of the carrier without the formation of metal oxide multilayers or crystallites. ?? 1983.", "author" : [ { "dropping-particle" : "", "family" : "Hengstum", "given" : "A.J.", "non-dropping-particle" : "Van", "parse-names" : false, "suffix" : "" }, { "dropping-particle" : "", "family" : "Ommen", "given" : "J.G.", "non-dropping-particle" : "Van", "parse-names" : false, "suffix" : "" }, { "dropping-particle" : "", "family" : "Bosch", "given" : "H.", "non-dropping-particle" : "", "parse-names" : false, "suffix" : "" }, { "dropping-particle" : "", "family" : "Gellings", "given" : "P.J.", "non-dropping-particle" : "", "parse-names" : false, "suffix" : "" } ], "container-title" : "Applied Catalysis", "id" : "ITEM-1", "issue" : "2", "issued" : { "date-parts" : [ [ "1983" ] ] }, "page" : "207-217", "title" : "Preparation of supported vanadium and molybdenum oxide catalysts using metal acetylacetonate complexes", "type" : "article-journal", "volume" : "5" }, "uris" : [ "http://www.mendeley.com/documents/?uuid=186cc708-74a2-4d8e-97e0-dd57e0b13468" ] } ], "mendeley" : { "formattedCitation" : "[55]", "plainTextFormattedCitation" : "[55]", "previouslyFormattedCitation" : "[55]" }, "properties" : { "noteIndex" : 0 }, "schema" : "https://github.com/citation-style-language/schema/raw/master/csl-citation.json" }</w:instrText>
      </w:r>
      <w:r w:rsidR="007441A1" w:rsidRPr="001519D1">
        <w:rPr>
          <w:rFonts w:ascii="Arial" w:hAnsi="Arial" w:cs="Arial"/>
          <w:lang w:val="en-US"/>
        </w:rPr>
        <w:fldChar w:fldCharType="separate"/>
      </w:r>
      <w:r w:rsidR="00C76F86" w:rsidRPr="001519D1">
        <w:rPr>
          <w:rFonts w:ascii="Arial" w:hAnsi="Arial" w:cs="Arial"/>
          <w:noProof/>
          <w:lang w:val="en-US"/>
        </w:rPr>
        <w:t>[55]</w:t>
      </w:r>
      <w:r w:rsidR="007441A1" w:rsidRPr="001519D1">
        <w:rPr>
          <w:rFonts w:ascii="Arial" w:hAnsi="Arial" w:cs="Arial"/>
          <w:lang w:val="en-US"/>
        </w:rPr>
        <w:fldChar w:fldCharType="end"/>
      </w:r>
      <w:r w:rsidR="007441A1" w:rsidRPr="001519D1">
        <w:rPr>
          <w:rFonts w:ascii="Arial" w:hAnsi="Arial" w:cs="Arial"/>
          <w:lang w:val="en-US"/>
        </w:rPr>
        <w:t>.</w:t>
      </w:r>
    </w:p>
    <w:p w14:paraId="58F98436" w14:textId="77777777" w:rsidR="00B92893" w:rsidRPr="001519D1" w:rsidRDefault="00B92893" w:rsidP="00B92893">
      <w:pPr>
        <w:spacing w:after="0" w:line="360" w:lineRule="auto"/>
        <w:rPr>
          <w:rFonts w:ascii="Arial" w:hAnsi="Arial" w:cs="Arial"/>
          <w:lang w:val="en-US"/>
        </w:rPr>
      </w:pPr>
    </w:p>
    <w:p w14:paraId="7752018D" w14:textId="52F689AD" w:rsidR="00B92893" w:rsidRPr="001519D1" w:rsidRDefault="00B92893" w:rsidP="00B92893">
      <w:pPr>
        <w:spacing w:after="0" w:line="360" w:lineRule="auto"/>
        <w:rPr>
          <w:rFonts w:ascii="Arial" w:hAnsi="Arial" w:cs="Arial"/>
          <w:lang w:val="en-US"/>
        </w:rPr>
      </w:pPr>
      <w:r w:rsidRPr="001519D1">
        <w:rPr>
          <w:rFonts w:ascii="Arial" w:hAnsi="Arial" w:cs="Arial"/>
          <w:lang w:val="en-US"/>
        </w:rPr>
        <w:t>Estimating our Mo surface density is not an easy task since the synthesis procedure implies the coprecipitation of Zr, Eu and Mo phases, not the impregnation of an already prepared ZrEu mixed oxide support. Two alternatives may be envisaged, the first one would consider a support of 45 m</w:t>
      </w:r>
      <w:r w:rsidRPr="001519D1">
        <w:rPr>
          <w:rFonts w:ascii="Arial" w:hAnsi="Arial" w:cs="Arial"/>
          <w:vertAlign w:val="superscript"/>
          <w:lang w:val="en-US"/>
        </w:rPr>
        <w:t>2</w:t>
      </w:r>
      <w:r w:rsidRPr="001519D1">
        <w:rPr>
          <w:rFonts w:ascii="Arial" w:hAnsi="Arial" w:cs="Arial"/>
          <w:lang w:val="en-US"/>
        </w:rPr>
        <w:t>·g</w:t>
      </w:r>
      <w:r w:rsidRPr="001519D1">
        <w:rPr>
          <w:rFonts w:ascii="Arial" w:hAnsi="Arial" w:cs="Arial"/>
          <w:vertAlign w:val="superscript"/>
          <w:lang w:val="en-US"/>
        </w:rPr>
        <w:t>-1</w:t>
      </w:r>
      <w:r w:rsidRPr="001519D1">
        <w:rPr>
          <w:rFonts w:ascii="Arial" w:hAnsi="Arial" w:cs="Arial"/>
          <w:lang w:val="en-US"/>
        </w:rPr>
        <w:t xml:space="preserve"> as reported in table 1 whereas a Mo-containing phase is on the surface of the mixed oxide. This may be consistent with a decrease in pore radius from 3,4 to 2,4 nm but cannot explain the increase in pore volume. In the second approach the Mo-containing phase is in the surface of the mixed oxide but its relatively low concentration does not alter the surface of the solid, therefore the surface area is in the range 74-88 m</w:t>
      </w:r>
      <w:r w:rsidRPr="001519D1">
        <w:rPr>
          <w:rFonts w:ascii="Arial" w:hAnsi="Arial" w:cs="Arial"/>
          <w:vertAlign w:val="superscript"/>
          <w:lang w:val="en-US"/>
        </w:rPr>
        <w:t>2</w:t>
      </w:r>
      <w:r w:rsidRPr="001519D1">
        <w:rPr>
          <w:rFonts w:ascii="Arial" w:hAnsi="Arial" w:cs="Arial"/>
          <w:lang w:val="en-US"/>
        </w:rPr>
        <w:t>·g</w:t>
      </w:r>
      <w:r w:rsidRPr="001519D1">
        <w:rPr>
          <w:rFonts w:ascii="Arial" w:hAnsi="Arial" w:cs="Arial"/>
          <w:vertAlign w:val="superscript"/>
          <w:lang w:val="en-US"/>
        </w:rPr>
        <w:t>-1</w:t>
      </w:r>
      <w:r w:rsidRPr="001519D1">
        <w:rPr>
          <w:rFonts w:ascii="Arial" w:hAnsi="Arial" w:cs="Arial"/>
          <w:lang w:val="en-US"/>
        </w:rPr>
        <w:t>. This approach is consistent with a porous volume higher than in the support precipitated in the absence of molybdenum. As it is easily seen, the surface density of molybdenum is quite different depending on the approach, in the first case a MoO</w:t>
      </w:r>
      <w:r w:rsidRPr="001519D1">
        <w:rPr>
          <w:rFonts w:ascii="Arial" w:hAnsi="Arial" w:cs="Arial"/>
          <w:vertAlign w:val="subscript"/>
          <w:lang w:val="en-US"/>
        </w:rPr>
        <w:t>3</w:t>
      </w:r>
      <w:r w:rsidRPr="001519D1">
        <w:rPr>
          <w:rFonts w:ascii="Arial" w:hAnsi="Arial" w:cs="Arial"/>
          <w:lang w:val="en-US"/>
        </w:rPr>
        <w:t xml:space="preserve"> monolayer should be attained for ca. 7,5 wt</w:t>
      </w:r>
      <w:r w:rsidR="00D53BDE" w:rsidRPr="001519D1">
        <w:rPr>
          <w:rFonts w:ascii="Arial" w:hAnsi="Arial" w:cs="Arial"/>
          <w:lang w:val="en-US"/>
        </w:rPr>
        <w:t>.</w:t>
      </w:r>
      <w:r w:rsidRPr="001519D1">
        <w:rPr>
          <w:rFonts w:ascii="Arial" w:hAnsi="Arial" w:cs="Arial"/>
          <w:lang w:val="en-US"/>
        </w:rPr>
        <w:t>% of MoO</w:t>
      </w:r>
      <w:r w:rsidRPr="001519D1">
        <w:rPr>
          <w:rFonts w:ascii="Arial" w:hAnsi="Arial" w:cs="Arial"/>
          <w:vertAlign w:val="subscript"/>
          <w:lang w:val="en-US"/>
        </w:rPr>
        <w:t>3</w:t>
      </w:r>
      <w:r w:rsidRPr="001519D1">
        <w:rPr>
          <w:rFonts w:ascii="Arial" w:hAnsi="Arial" w:cs="Arial"/>
          <w:lang w:val="en-US"/>
        </w:rPr>
        <w:t xml:space="preserve"> assuming Van Hengstum </w:t>
      </w:r>
      <w:r w:rsidRPr="001519D1">
        <w:rPr>
          <w:rFonts w:ascii="Arial" w:hAnsi="Arial" w:cs="Arial"/>
          <w:i/>
          <w:iCs/>
          <w:lang w:val="en-US"/>
        </w:rPr>
        <w:t>et al</w:t>
      </w:r>
      <w:r w:rsidRPr="001519D1">
        <w:rPr>
          <w:rFonts w:ascii="Arial" w:hAnsi="Arial" w:cs="Arial"/>
          <w:lang w:val="en-US"/>
        </w:rPr>
        <w:t>.’ calculations</w:t>
      </w:r>
      <w:r w:rsidR="007441A1" w:rsidRPr="001519D1">
        <w:rPr>
          <w:rFonts w:ascii="Arial" w:hAnsi="Arial" w:cs="Arial"/>
          <w:lang w:val="en-US"/>
        </w:rPr>
        <w:t xml:space="preserve"> </w:t>
      </w:r>
      <w:r w:rsidR="007441A1"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"10.1016/0166-9834(83)80133-X", "ISBN" : "9788578110796", "ISSN" : "01669834", "PMID" : "25246403", "abstract" : "Supported vanadium and molybdenum oxide catalysts were prepared by reaction of the corresponding acetylacetonate complex in a non-aqueous solution with the surface hydroxyl groups of the carrier. Continuous or batch adsorption of the metal acetylacetonate from toluene, as well as wet impregnation from ethanol, resulted in a uniform coverage of the support. The applied metal oxide was probably present on the surface as a monomolecular dispersion. When readsorption or reimpregnation from toluene was carried out with TiO2 as support, metal oxide crystallites were formed, which could readily be detected with laser Raman spectroscopy. Reimpregnation from ethanol led to a complete occupancy of the surface hydroxyl groups of the carrier without the formation of metal oxide multilayers or crystallites. ?? 1983.", "author" : [ { "dropping-particle" : "", "family" : "Hengstum", "given" : "A.J.", "non-dropping-particle" : "Van", "parse-names" : false, "suffix" : "" }, { "dropping-particle" : "", "family" : "Ommen", "given" : "J.G.", "non-dropping-particle" : "Van", "parse-names" : false, "suffix" : "" }, { "dropping-particle" : "", "family" : "Bosch", "given" : "H.", "non-dropping-particle" : "", "parse-names" : false, "suffix" : "" }, { "dropping-particle" : "", "family" : "Gellings", "given" : "P.J.", "non-dropping-particle" : "", "parse-names" : false, "suffix" : "" } ], "container-title" : "Applied Catalysis", "id" : "ITEM-1", "issue" : "2", "issued" : { "date-parts" : [ [ "1983" ] ] }, "page" : "207-217", "title" : "Preparation of supported vanadium and molybdenum oxide catalysts using metal acetylacetonate complexes", "type" : "article-journal", "volume" : "5" }, "uris" : [ "http://www.mendeley.com/documents/?uuid=186cc708-74a2-4d8e-97e0-dd57e0b13468" ] } ], "mendeley" : { "formattedCitation" : "[55]", "plainTextFormattedCitation" : "[55]", "previouslyFormattedCitation" : "[55]" }, "properties" : { "noteIndex" : 0 }, "schema" : "https://github.com/citation-style-language/schema/raw/master/csl-citation.json" }</w:instrText>
      </w:r>
      <w:r w:rsidR="007441A1" w:rsidRPr="001519D1">
        <w:rPr>
          <w:rFonts w:ascii="Arial" w:hAnsi="Arial" w:cs="Arial"/>
          <w:lang w:val="en-US"/>
        </w:rPr>
        <w:fldChar w:fldCharType="separate"/>
      </w:r>
      <w:r w:rsidR="00C76F86" w:rsidRPr="001519D1">
        <w:rPr>
          <w:rFonts w:ascii="Arial" w:hAnsi="Arial" w:cs="Arial"/>
          <w:noProof/>
          <w:lang w:val="en-US"/>
        </w:rPr>
        <w:t>[55]</w:t>
      </w:r>
      <w:r w:rsidR="007441A1" w:rsidRPr="001519D1">
        <w:rPr>
          <w:rFonts w:ascii="Arial" w:hAnsi="Arial" w:cs="Arial"/>
          <w:lang w:val="en-US"/>
        </w:rPr>
        <w:fldChar w:fldCharType="end"/>
      </w:r>
      <w:r w:rsidR="007441A1" w:rsidRPr="001519D1">
        <w:rPr>
          <w:rFonts w:ascii="Arial" w:hAnsi="Arial" w:cs="Arial"/>
          <w:lang w:val="en-US"/>
        </w:rPr>
        <w:t>,</w:t>
      </w:r>
      <w:r w:rsidRPr="001519D1">
        <w:rPr>
          <w:rFonts w:ascii="Arial" w:hAnsi="Arial" w:cs="Arial"/>
          <w:lang w:val="en-US"/>
        </w:rPr>
        <w:t xml:space="preserve"> while in the second one between 12 and 14 wt.% of MoO</w:t>
      </w:r>
      <w:r w:rsidRPr="001519D1">
        <w:rPr>
          <w:rFonts w:ascii="Arial" w:hAnsi="Arial" w:cs="Arial"/>
          <w:vertAlign w:val="subscript"/>
          <w:lang w:val="en-US"/>
        </w:rPr>
        <w:t>3</w:t>
      </w:r>
      <w:r w:rsidRPr="001519D1">
        <w:rPr>
          <w:rFonts w:ascii="Arial" w:hAnsi="Arial" w:cs="Arial"/>
          <w:lang w:val="en-US"/>
        </w:rPr>
        <w:t xml:space="preserve"> is required for obtaining a statistical MoO</w:t>
      </w:r>
      <w:r w:rsidRPr="001519D1">
        <w:rPr>
          <w:rFonts w:ascii="Arial" w:hAnsi="Arial" w:cs="Arial"/>
          <w:vertAlign w:val="subscript"/>
          <w:lang w:val="en-US"/>
        </w:rPr>
        <w:t>3</w:t>
      </w:r>
      <w:r w:rsidRPr="001519D1">
        <w:rPr>
          <w:rFonts w:ascii="Arial" w:hAnsi="Arial" w:cs="Arial"/>
          <w:lang w:val="en-US"/>
        </w:rPr>
        <w:t xml:space="preserve"> monolayer. A conservative approach may suggest that the monolayer capacity is in between these two extreme alternatives and, therefore, assume that the MoO</w:t>
      </w:r>
      <w:r w:rsidRPr="001519D1">
        <w:rPr>
          <w:rFonts w:ascii="Arial" w:hAnsi="Arial" w:cs="Arial"/>
          <w:vertAlign w:val="subscript"/>
          <w:lang w:val="en-US"/>
        </w:rPr>
        <w:t>3</w:t>
      </w:r>
      <w:r w:rsidRPr="001519D1">
        <w:rPr>
          <w:rFonts w:ascii="Arial" w:hAnsi="Arial" w:cs="Arial"/>
          <w:lang w:val="en-US"/>
        </w:rPr>
        <w:t xml:space="preserve"> coverage in ZrEuMo_5 and ZrEuMo_7 is below the monolayer while for ZrEuMo_10 a close to unity coverage has been attained. The absence of diffraction lines (Figure 4b) associated to any Mo-containing </w:t>
      </w:r>
      <w:r w:rsidRPr="001519D1">
        <w:rPr>
          <w:rFonts w:ascii="Arial" w:hAnsi="Arial" w:cs="Arial"/>
          <w:lang w:val="en-US"/>
        </w:rPr>
        <w:lastRenderedPageBreak/>
        <w:t>phase may indicate either the formation of a monolayer all over the support in which tetrahedral molybdates dominates or the existence of islands of α-MoO</w:t>
      </w:r>
      <w:r w:rsidRPr="001519D1">
        <w:rPr>
          <w:rFonts w:ascii="Arial" w:hAnsi="Arial" w:cs="Arial"/>
          <w:vertAlign w:val="subscript"/>
          <w:lang w:val="en-US"/>
        </w:rPr>
        <w:t>3</w:t>
      </w:r>
      <w:r w:rsidRPr="001519D1">
        <w:rPr>
          <w:rFonts w:ascii="Arial" w:hAnsi="Arial" w:cs="Arial"/>
          <w:lang w:val="en-US"/>
        </w:rPr>
        <w:t xml:space="preserve"> phase with sizes below the detection limit of the XRD diffractometer. XPS data (Figure 5) seems to better support the second hypothesis: small MoO</w:t>
      </w:r>
      <w:r w:rsidRPr="001519D1">
        <w:rPr>
          <w:rFonts w:ascii="Arial" w:hAnsi="Arial" w:cs="Arial"/>
          <w:vertAlign w:val="subscript"/>
          <w:lang w:val="en-US"/>
        </w:rPr>
        <w:t>3</w:t>
      </w:r>
      <w:r w:rsidRPr="001519D1">
        <w:rPr>
          <w:rFonts w:ascii="Arial" w:hAnsi="Arial" w:cs="Arial"/>
          <w:lang w:val="en-US"/>
        </w:rPr>
        <w:t xml:space="preserve"> islands nucleating on Eu sites of the solid solution.</w:t>
      </w:r>
    </w:p>
    <w:p w14:paraId="20127AAE" w14:textId="77777777" w:rsidR="00B92893" w:rsidRPr="001519D1" w:rsidRDefault="00B92893" w:rsidP="00B92893">
      <w:pPr>
        <w:spacing w:after="0" w:line="360" w:lineRule="auto"/>
        <w:rPr>
          <w:rFonts w:ascii="Arial" w:hAnsi="Arial" w:cs="Arial"/>
          <w:lang w:val="en-US"/>
        </w:rPr>
      </w:pPr>
    </w:p>
    <w:p w14:paraId="7FF933CF" w14:textId="6DB407EC" w:rsidR="00B92893" w:rsidRPr="001519D1" w:rsidRDefault="00B92893" w:rsidP="00B92893">
      <w:pPr>
        <w:spacing w:after="0" w:line="360" w:lineRule="auto"/>
        <w:rPr>
          <w:rFonts w:ascii="Arial" w:hAnsi="Arial" w:cs="Arial"/>
          <w:lang w:val="en-US"/>
        </w:rPr>
      </w:pPr>
      <w:r w:rsidRPr="001519D1">
        <w:rPr>
          <w:rFonts w:ascii="Arial" w:hAnsi="Arial" w:cs="Arial"/>
          <w:lang w:val="en-US"/>
        </w:rPr>
        <w:t>Therefore, in an attempt of finding the structure adopted by surface MoO</w:t>
      </w:r>
      <w:r w:rsidRPr="001519D1">
        <w:rPr>
          <w:rFonts w:ascii="Arial" w:hAnsi="Arial" w:cs="Arial"/>
          <w:vertAlign w:val="subscript"/>
          <w:lang w:val="en-US"/>
        </w:rPr>
        <w:t>x</w:t>
      </w:r>
      <w:r w:rsidRPr="001519D1">
        <w:rPr>
          <w:rFonts w:ascii="Arial" w:hAnsi="Arial" w:cs="Arial"/>
          <w:lang w:val="en-US"/>
        </w:rPr>
        <w:t xml:space="preserve"> phase in the ZrEuMo_x samples, Raman and UV-Vis spectroscopy analysis of the synthesized samples in ambient conditions were carried out. The UV-Vis spectra (Figure 6) </w:t>
      </w:r>
      <w:r w:rsidR="00D76248" w:rsidRPr="001519D1">
        <w:rPr>
          <w:rFonts w:ascii="Arial" w:hAnsi="Arial" w:cs="Arial"/>
          <w:lang w:val="en-US"/>
        </w:rPr>
        <w:t xml:space="preserve">only </w:t>
      </w:r>
      <w:r w:rsidRPr="001519D1">
        <w:rPr>
          <w:rFonts w:ascii="Arial" w:hAnsi="Arial" w:cs="Arial"/>
          <w:lang w:val="en-US"/>
        </w:rPr>
        <w:t>show a shift of the edge energy (E</w:t>
      </w:r>
      <w:r w:rsidRPr="001519D1">
        <w:rPr>
          <w:rFonts w:ascii="Arial" w:hAnsi="Arial" w:cs="Arial"/>
          <w:vertAlign w:val="subscript"/>
          <w:lang w:val="en-US"/>
        </w:rPr>
        <w:t>g</w:t>
      </w:r>
      <w:r w:rsidRPr="001519D1">
        <w:rPr>
          <w:rFonts w:ascii="Arial" w:hAnsi="Arial" w:cs="Arial"/>
          <w:lang w:val="en-US"/>
        </w:rPr>
        <w:t>) from ~270 nm (4.6 eV) to ~340 nm (3.6 eV) on increasing the Mo conten</w:t>
      </w:r>
      <w:r w:rsidR="00D76248" w:rsidRPr="001519D1">
        <w:rPr>
          <w:rFonts w:ascii="Arial" w:hAnsi="Arial" w:cs="Arial"/>
          <w:lang w:val="en-US"/>
        </w:rPr>
        <w:t>t associated to Mo-O-Mo bonds. A</w:t>
      </w:r>
      <w:r w:rsidRPr="001519D1">
        <w:rPr>
          <w:rFonts w:ascii="Arial" w:hAnsi="Arial" w:cs="Arial"/>
          <w:lang w:val="en-US"/>
        </w:rPr>
        <w:t xml:space="preserve">ccording to Tian </w:t>
      </w:r>
      <w:r w:rsidRPr="001519D1">
        <w:rPr>
          <w:rFonts w:ascii="Arial" w:hAnsi="Arial" w:cs="Arial"/>
          <w:i/>
          <w:iCs/>
          <w:lang w:val="en-US"/>
        </w:rPr>
        <w:t>et al</w:t>
      </w:r>
      <w:r w:rsidRPr="001519D1">
        <w:rPr>
          <w:rFonts w:ascii="Arial" w:hAnsi="Arial" w:cs="Arial"/>
          <w:lang w:val="en-US"/>
        </w:rPr>
        <w:t>.</w:t>
      </w:r>
      <w:r w:rsidR="007441A1" w:rsidRPr="001519D1">
        <w:rPr>
          <w:rFonts w:ascii="Arial" w:hAnsi="Arial" w:cs="Arial"/>
          <w:lang w:val="en-US"/>
        </w:rPr>
        <w:t xml:space="preserve"> </w:t>
      </w:r>
      <w:r w:rsidR="007441A1"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"10.1021/jp103269w", "ISBN" : "1932-7447", "ISSN" : "1932-7447", "abstract" : "UV\u2212vis diffuse reflectance spectroscopy (DRS) and Raman spectroscopy were used to examine the electronic and molecular structures, respectively, of well-defined Mo(VI) bulk mixed oxide reference compounds ((i) isolated MoO4 or MoO6 monomers, (ii) dimeric O3Mo\u2212O\u2212MoO3, (iii) chains of alternating MoO4 and MoO6 units, (iv) MoO6-coordinated Mo7\u2212Mo12 clusters, and (v) infinite layered sheets of MoO5 units), aqueous molybdate anions as a function of solution pH, and supported MoO3 catalysts (MoO3/SiO2, MoO3/Al2O3, and MoO3/ZrO2). Raman spectroscopy confirmed the identity and phase purity of the different bulk and solution molybdenum oxide structures. UV\u2212vis DRS provided the corresponding electronic edge energy (Eg) of the ligand-to-metal charge transfer (LMCT) transitions of the Mo(VI) cations. A linear inverse correlation was found between Eg and the number of bridging Mo\u2212O\u2212Mo covalent bonds around the central Mo(VI) cation. A relationship between Eg and the domain size (NMo) for finite MoOx clusters, however, was not found to exist. Application of the above insights allowed for the determination of the molecular structures of the two-dimensional surface MoOx species present in supported MoO3 catalysts as a function of environmental conditions. The current electronic and molecular structural findings are critical for subsequent studies that wish to establish reliable structure\u2212activity/selectivity relationships for molybdenum oxide catalysts, especially supported MoO3 catalysts.", "author" : [ { "dropping-particle" : "", "family" : "Tian", "given" : "Hanjing", "non-dropping-particle" : "", "parse-names" : false, "suffix" : "" }, { "dropping-particle" : "", "family" : "Roberts", "given" : "Charles A.", "non-dropping-particle" : "", "parse-names" : false, "suffix" : "" }, { "dropping-particle" : "", "family" : "Wachs", "given" : "Israel E.", "non-dropping-particle" : "", "parse-names" : false, "suffix" : "" } ], "container-title" : "Journal of Physical Chemistry C", "id" : "ITEM-1", "issue" : "2", "issued" : { "date-parts" : [ [ "2010" ] ] }, "page" : "14110-14120", "title" : "Molecular Structural Determination of Molybdena in Different Environments: Aqueous Solutions, Bulk Mixed Oxides, and Supported MoO3 Catalysts", "type" : "article-journal", "volume" : "114" }, "uris" : [ "http://www.mendeley.com/documents/?uuid=0daf5c5a-2403-4f27-8bda-f4bf90acaae3" ] } ], "mendeley" : { "formattedCitation" : "[48]", "plainTextFormattedCitation" : "[48]", "previouslyFormattedCitation" : "[48]" }, "properties" : { "noteIndex" : 0 }, "schema" : "https://github.com/citation-style-language/schema/raw/master/csl-citation.json" }</w:instrText>
      </w:r>
      <w:r w:rsidR="007441A1" w:rsidRPr="001519D1">
        <w:rPr>
          <w:rFonts w:ascii="Arial" w:hAnsi="Arial" w:cs="Arial"/>
          <w:lang w:val="en-US"/>
        </w:rPr>
        <w:fldChar w:fldCharType="separate"/>
      </w:r>
      <w:r w:rsidR="00C76F86" w:rsidRPr="001519D1">
        <w:rPr>
          <w:rFonts w:ascii="Arial" w:hAnsi="Arial" w:cs="Arial"/>
          <w:noProof/>
          <w:lang w:val="en-US"/>
        </w:rPr>
        <w:t>[48]</w:t>
      </w:r>
      <w:r w:rsidR="007441A1" w:rsidRPr="001519D1">
        <w:rPr>
          <w:rFonts w:ascii="Arial" w:hAnsi="Arial" w:cs="Arial"/>
          <w:lang w:val="en-US"/>
        </w:rPr>
        <w:fldChar w:fldCharType="end"/>
      </w:r>
      <w:r w:rsidR="007441A1" w:rsidRPr="001519D1">
        <w:rPr>
          <w:rFonts w:ascii="Arial" w:hAnsi="Arial" w:cs="Arial"/>
          <w:lang w:val="en-US"/>
        </w:rPr>
        <w:t>,</w:t>
      </w:r>
      <w:r w:rsidRPr="001519D1">
        <w:rPr>
          <w:rFonts w:ascii="Arial" w:hAnsi="Arial" w:cs="Arial"/>
          <w:lang w:val="en-US"/>
        </w:rPr>
        <w:t xml:space="preserve"> </w:t>
      </w:r>
      <w:r w:rsidR="00D76248" w:rsidRPr="001519D1">
        <w:rPr>
          <w:rFonts w:ascii="Arial" w:hAnsi="Arial" w:cs="Arial"/>
          <w:lang w:val="en-US"/>
        </w:rPr>
        <w:t xml:space="preserve">this shift </w:t>
      </w:r>
      <w:r w:rsidRPr="001519D1">
        <w:rPr>
          <w:rFonts w:ascii="Arial" w:hAnsi="Arial" w:cs="Arial"/>
          <w:lang w:val="en-US"/>
        </w:rPr>
        <w:t>indicates that ZrEuMo_5 sample shows predominantly isolated monomeric [MoO</w:t>
      </w:r>
      <w:r w:rsidRPr="001519D1">
        <w:rPr>
          <w:rFonts w:ascii="Arial" w:hAnsi="Arial" w:cs="Arial"/>
          <w:vertAlign w:val="subscript"/>
          <w:lang w:val="en-US"/>
        </w:rPr>
        <w:t>4</w:t>
      </w:r>
      <w:r w:rsidRPr="001519D1">
        <w:rPr>
          <w:rFonts w:ascii="Arial" w:hAnsi="Arial" w:cs="Arial"/>
          <w:lang w:val="en-US"/>
        </w:rPr>
        <w:t>]</w:t>
      </w:r>
      <w:r w:rsidRPr="001519D1">
        <w:rPr>
          <w:rFonts w:ascii="Arial" w:hAnsi="Arial" w:cs="Arial"/>
          <w:vertAlign w:val="superscript"/>
          <w:lang w:val="en-US"/>
        </w:rPr>
        <w:t>2-</w:t>
      </w:r>
      <w:r w:rsidRPr="001519D1">
        <w:rPr>
          <w:rFonts w:ascii="Arial" w:hAnsi="Arial" w:cs="Arial"/>
          <w:lang w:val="en-US"/>
        </w:rPr>
        <w:t xml:space="preserve"> species</w:t>
      </w:r>
      <w:r w:rsidR="00D76248" w:rsidRPr="001519D1">
        <w:rPr>
          <w:rFonts w:ascii="Arial" w:hAnsi="Arial" w:cs="Arial"/>
          <w:lang w:val="en-US"/>
        </w:rPr>
        <w:t>, whose UV</w:t>
      </w:r>
      <w:r w:rsidR="002100FB" w:rsidRPr="001519D1">
        <w:rPr>
          <w:rFonts w:ascii="Arial" w:hAnsi="Arial" w:cs="Arial"/>
          <w:lang w:val="en-US"/>
        </w:rPr>
        <w:t>-Vis</w:t>
      </w:r>
      <w:r w:rsidR="00D76248" w:rsidRPr="001519D1">
        <w:rPr>
          <w:rFonts w:ascii="Arial" w:hAnsi="Arial" w:cs="Arial"/>
          <w:lang w:val="en-US"/>
        </w:rPr>
        <w:t xml:space="preserve"> excitation band is found at more narrow </w:t>
      </w:r>
      <w:r w:rsidR="002100FB" w:rsidRPr="001519D1">
        <w:rPr>
          <w:rFonts w:ascii="Arial" w:hAnsi="Arial" w:cs="Arial"/>
          <w:lang w:val="en-US"/>
        </w:rPr>
        <w:t xml:space="preserve">and lower </w:t>
      </w:r>
      <w:r w:rsidR="00D76248" w:rsidRPr="001519D1">
        <w:rPr>
          <w:rFonts w:ascii="Arial" w:hAnsi="Arial" w:cs="Arial"/>
          <w:lang w:val="en-US"/>
        </w:rPr>
        <w:t>wavelength range</w:t>
      </w:r>
      <w:r w:rsidR="002100FB" w:rsidRPr="001519D1">
        <w:rPr>
          <w:rFonts w:ascii="Arial" w:hAnsi="Arial" w:cs="Arial"/>
          <w:lang w:val="en-US"/>
        </w:rPr>
        <w:t>, characteristic of this Mo-O bond</w:t>
      </w:r>
      <w:r w:rsidRPr="001519D1">
        <w:rPr>
          <w:rFonts w:ascii="Arial" w:hAnsi="Arial" w:cs="Arial"/>
          <w:lang w:val="en-US"/>
        </w:rPr>
        <w:t>. On increasing the Mo concentration, [Mo</w:t>
      </w:r>
      <w:r w:rsidRPr="001519D1">
        <w:rPr>
          <w:rFonts w:ascii="Arial" w:hAnsi="Arial" w:cs="Arial"/>
          <w:vertAlign w:val="subscript"/>
          <w:lang w:val="en-US"/>
        </w:rPr>
        <w:t>7</w:t>
      </w:r>
      <w:r w:rsidRPr="001519D1">
        <w:rPr>
          <w:rFonts w:ascii="Arial" w:hAnsi="Arial" w:cs="Arial"/>
          <w:lang w:val="en-US"/>
        </w:rPr>
        <w:t>O</w:t>
      </w:r>
      <w:r w:rsidRPr="001519D1">
        <w:rPr>
          <w:rFonts w:ascii="Arial" w:hAnsi="Arial" w:cs="Arial"/>
          <w:vertAlign w:val="subscript"/>
          <w:lang w:val="en-US"/>
        </w:rPr>
        <w:t>24</w:t>
      </w:r>
      <w:r w:rsidRPr="001519D1">
        <w:rPr>
          <w:rFonts w:ascii="Arial" w:hAnsi="Arial" w:cs="Arial"/>
          <w:lang w:val="en-US"/>
        </w:rPr>
        <w:t>]</w:t>
      </w:r>
      <w:r w:rsidRPr="001519D1">
        <w:rPr>
          <w:rFonts w:ascii="Arial" w:hAnsi="Arial" w:cs="Arial"/>
          <w:vertAlign w:val="superscript"/>
          <w:lang w:val="en-US"/>
        </w:rPr>
        <w:t>6-</w:t>
      </w:r>
      <w:r w:rsidRPr="001519D1">
        <w:rPr>
          <w:rFonts w:ascii="Arial" w:hAnsi="Arial" w:cs="Arial"/>
          <w:lang w:val="en-US"/>
        </w:rPr>
        <w:t xml:space="preserve"> clusters are formed and even an α-MoO</w:t>
      </w:r>
      <w:r w:rsidRPr="001519D1">
        <w:rPr>
          <w:rFonts w:ascii="Arial" w:hAnsi="Arial" w:cs="Arial"/>
          <w:vertAlign w:val="subscript"/>
          <w:lang w:val="en-US"/>
        </w:rPr>
        <w:t>3</w:t>
      </w:r>
      <w:r w:rsidRPr="001519D1">
        <w:rPr>
          <w:rFonts w:ascii="Arial" w:hAnsi="Arial" w:cs="Arial"/>
          <w:lang w:val="en-US"/>
        </w:rPr>
        <w:t xml:space="preserve"> layer for the ZrEuMo_10 sample may appear</w:t>
      </w:r>
      <w:r w:rsidR="00D76248" w:rsidRPr="001519D1">
        <w:rPr>
          <w:rFonts w:ascii="Arial" w:hAnsi="Arial" w:cs="Arial"/>
          <w:lang w:val="en-US"/>
        </w:rPr>
        <w:t>, making wider the UV-Vis excitation E</w:t>
      </w:r>
      <w:r w:rsidR="00D76248" w:rsidRPr="001519D1">
        <w:rPr>
          <w:rFonts w:ascii="Arial" w:hAnsi="Arial" w:cs="Arial"/>
          <w:vertAlign w:val="subscript"/>
          <w:lang w:val="en-US"/>
        </w:rPr>
        <w:t>g</w:t>
      </w:r>
      <w:r w:rsidR="00D76248" w:rsidRPr="001519D1">
        <w:rPr>
          <w:rFonts w:ascii="Arial" w:hAnsi="Arial" w:cs="Arial"/>
          <w:lang w:val="en-US"/>
        </w:rPr>
        <w:t xml:space="preserve"> band</w:t>
      </w:r>
      <w:r w:rsidR="002100FB" w:rsidRPr="001519D1">
        <w:rPr>
          <w:rFonts w:ascii="Arial" w:hAnsi="Arial" w:cs="Arial"/>
          <w:lang w:val="en-US"/>
        </w:rPr>
        <w:t xml:space="preserve"> (lower energy required) due to more Mo-O-Mo bonds</w:t>
      </w:r>
      <w:r w:rsidRPr="001519D1">
        <w:rPr>
          <w:rFonts w:ascii="Arial" w:hAnsi="Arial" w:cs="Arial"/>
          <w:lang w:val="en-US"/>
        </w:rPr>
        <w:t>. These structures are also in good agreement with the literature discussed above. Moreover, the UV-Vis spectra have been presented together with the reference ZrEu sample for comparison, where the luminescence by f-f transitions of Eu has been hidden by the red shift of E</w:t>
      </w:r>
      <w:r w:rsidRPr="001519D1">
        <w:rPr>
          <w:rFonts w:ascii="Arial" w:hAnsi="Arial" w:cs="Arial"/>
          <w:vertAlign w:val="subscript"/>
          <w:lang w:val="en-US"/>
        </w:rPr>
        <w:t>g</w:t>
      </w:r>
      <w:r w:rsidRPr="001519D1">
        <w:rPr>
          <w:rFonts w:ascii="Arial" w:hAnsi="Arial" w:cs="Arial"/>
          <w:lang w:val="en-US"/>
        </w:rPr>
        <w:t xml:space="preserve"> on increasing the Mo content.</w:t>
      </w:r>
    </w:p>
    <w:p w14:paraId="7FA6C7C8" w14:textId="77777777" w:rsidR="006C792B" w:rsidRPr="001519D1" w:rsidRDefault="006C792B" w:rsidP="00B92893">
      <w:pPr>
        <w:spacing w:after="0" w:line="360" w:lineRule="auto"/>
        <w:rPr>
          <w:rFonts w:ascii="Arial" w:hAnsi="Arial" w:cs="Arial"/>
          <w:lang w:val="en-US"/>
        </w:rPr>
      </w:pPr>
    </w:p>
    <w:p w14:paraId="2243C821" w14:textId="77777777" w:rsidR="006C792B" w:rsidRPr="001519D1" w:rsidRDefault="00B92893" w:rsidP="006C792B">
      <w:pPr>
        <w:keepNext/>
        <w:spacing w:after="0" w:line="360" w:lineRule="auto"/>
      </w:pPr>
      <w:r w:rsidRPr="001519D1">
        <w:rPr>
          <w:rFonts w:ascii="Arial" w:hAnsi="Arial" w:cs="Arial"/>
          <w:noProof/>
          <w:lang w:val="es-ES" w:eastAsia="es-ES"/>
        </w:rPr>
        <w:drawing>
          <wp:inline distT="0" distB="0" distL="0" distR="0" wp14:anchorId="7E75C652" wp14:editId="07462CC2">
            <wp:extent cx="2905125" cy="233896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9206" cy="2358351"/>
                    </a:xfrm>
                    <a:prstGeom prst="rect">
                      <a:avLst/>
                    </a:prstGeom>
                    <a:noFill/>
                  </pic:spPr>
                </pic:pic>
              </a:graphicData>
            </a:graphic>
          </wp:inline>
        </w:drawing>
      </w:r>
    </w:p>
    <w:p w14:paraId="16457ACC" w14:textId="3AB820CE" w:rsidR="00B92893" w:rsidRPr="001519D1" w:rsidRDefault="006C792B" w:rsidP="006C792B">
      <w:pPr>
        <w:pStyle w:val="Descripcin"/>
        <w:rPr>
          <w:rFonts w:ascii="Arial" w:hAnsi="Arial" w:cs="Arial"/>
          <w:i w:val="0"/>
          <w:iCs w:val="0"/>
          <w:color w:val="auto"/>
          <w:sz w:val="22"/>
          <w:szCs w:val="22"/>
          <w:lang w:val="en-US"/>
        </w:rPr>
      </w:pPr>
      <w:r w:rsidRPr="001519D1">
        <w:rPr>
          <w:rFonts w:ascii="Arial" w:hAnsi="Arial" w:cs="Arial"/>
          <w:i w:val="0"/>
          <w:iCs w:val="0"/>
          <w:color w:val="auto"/>
          <w:sz w:val="22"/>
          <w:szCs w:val="22"/>
          <w:lang w:val="en-US"/>
        </w:rPr>
        <w:t xml:space="preserve">Figure </w:t>
      </w:r>
      <w:r w:rsidRPr="001519D1">
        <w:rPr>
          <w:rFonts w:ascii="Arial" w:hAnsi="Arial" w:cs="Arial"/>
          <w:i w:val="0"/>
          <w:iCs w:val="0"/>
          <w:color w:val="auto"/>
          <w:sz w:val="22"/>
          <w:szCs w:val="22"/>
        </w:rPr>
        <w:fldChar w:fldCharType="begin"/>
      </w:r>
      <w:r w:rsidRPr="001519D1">
        <w:rPr>
          <w:rFonts w:ascii="Arial" w:hAnsi="Arial" w:cs="Arial"/>
          <w:i w:val="0"/>
          <w:iCs w:val="0"/>
          <w:color w:val="auto"/>
          <w:sz w:val="22"/>
          <w:szCs w:val="22"/>
          <w:lang w:val="en-US"/>
        </w:rPr>
        <w:instrText xml:space="preserve"> SEQ Figure \* ARABIC </w:instrText>
      </w:r>
      <w:r w:rsidRPr="001519D1">
        <w:rPr>
          <w:rFonts w:ascii="Arial" w:hAnsi="Arial" w:cs="Arial"/>
          <w:i w:val="0"/>
          <w:iCs w:val="0"/>
          <w:color w:val="auto"/>
          <w:sz w:val="22"/>
          <w:szCs w:val="22"/>
        </w:rPr>
        <w:fldChar w:fldCharType="separate"/>
      </w:r>
      <w:r w:rsidR="00AB59A7" w:rsidRPr="001519D1">
        <w:rPr>
          <w:rFonts w:ascii="Arial" w:hAnsi="Arial" w:cs="Arial"/>
          <w:i w:val="0"/>
          <w:iCs w:val="0"/>
          <w:noProof/>
          <w:color w:val="auto"/>
          <w:sz w:val="22"/>
          <w:szCs w:val="22"/>
          <w:lang w:val="en-US"/>
        </w:rPr>
        <w:t>6</w:t>
      </w:r>
      <w:r w:rsidRPr="001519D1">
        <w:rPr>
          <w:rFonts w:ascii="Arial" w:hAnsi="Arial" w:cs="Arial"/>
          <w:i w:val="0"/>
          <w:iCs w:val="0"/>
          <w:color w:val="auto"/>
          <w:sz w:val="22"/>
          <w:szCs w:val="22"/>
        </w:rPr>
        <w:fldChar w:fldCharType="end"/>
      </w:r>
      <w:r w:rsidRPr="001519D1">
        <w:rPr>
          <w:rFonts w:ascii="Arial" w:hAnsi="Arial" w:cs="Arial"/>
          <w:i w:val="0"/>
          <w:iCs w:val="0"/>
          <w:color w:val="auto"/>
          <w:sz w:val="22"/>
          <w:szCs w:val="22"/>
          <w:lang w:val="en-US"/>
        </w:rPr>
        <w:t>.</w:t>
      </w:r>
      <w:r w:rsidRPr="001519D1">
        <w:rPr>
          <w:rFonts w:ascii="Arial" w:hAnsi="Arial" w:cs="Arial"/>
          <w:i w:val="0"/>
          <w:iCs w:val="0"/>
          <w:noProof/>
          <w:color w:val="auto"/>
          <w:sz w:val="22"/>
          <w:szCs w:val="22"/>
          <w:lang w:val="en-US"/>
        </w:rPr>
        <w:t xml:space="preserve"> Normalized UV-Vis spectra of ZrEuMo_x samples compared with ZrEu sample as reference.</w:t>
      </w:r>
    </w:p>
    <w:p w14:paraId="02849B7C" w14:textId="77777777" w:rsidR="00B92893" w:rsidRPr="001519D1" w:rsidRDefault="00B92893" w:rsidP="00B92893">
      <w:pPr>
        <w:spacing w:after="0" w:line="360" w:lineRule="auto"/>
        <w:rPr>
          <w:rFonts w:ascii="Arial" w:hAnsi="Arial" w:cs="Arial"/>
          <w:lang w:val="en-US"/>
        </w:rPr>
      </w:pPr>
    </w:p>
    <w:p w14:paraId="344DA071" w14:textId="6E607F37" w:rsidR="00B92893" w:rsidRPr="001519D1" w:rsidRDefault="00B92893" w:rsidP="00B92893">
      <w:pPr>
        <w:spacing w:after="0" w:line="360" w:lineRule="auto"/>
        <w:rPr>
          <w:rFonts w:ascii="Arial" w:hAnsi="Arial" w:cs="Arial"/>
          <w:lang w:val="en-US"/>
        </w:rPr>
      </w:pPr>
      <w:r w:rsidRPr="001519D1">
        <w:rPr>
          <w:rFonts w:ascii="Arial" w:hAnsi="Arial" w:cs="Arial"/>
          <w:lang w:val="en-US"/>
        </w:rPr>
        <w:t xml:space="preserve">Unfortunately, as it can be noticed in Figure 7 where the Raman spectra of ZrEuMo_x samples are also compared with ZrEu reference sample, the intense luminescence of europium atoms hinders the Raman signals of the molybdenum species that show bands in </w:t>
      </w:r>
      <w:r w:rsidRPr="001519D1">
        <w:rPr>
          <w:rFonts w:ascii="Arial" w:hAnsi="Arial" w:cs="Arial"/>
          <w:lang w:val="en-US"/>
        </w:rPr>
        <w:lastRenderedPageBreak/>
        <w:t>the 200 – 400 cm</w:t>
      </w:r>
      <w:r w:rsidRPr="001519D1">
        <w:rPr>
          <w:rFonts w:ascii="Arial" w:hAnsi="Arial" w:cs="Arial"/>
          <w:vertAlign w:val="superscript"/>
          <w:lang w:val="en-US"/>
        </w:rPr>
        <w:t>-1</w:t>
      </w:r>
      <w:r w:rsidRPr="001519D1">
        <w:rPr>
          <w:rFonts w:ascii="Arial" w:hAnsi="Arial" w:cs="Arial"/>
          <w:lang w:val="en-US"/>
        </w:rPr>
        <w:t xml:space="preserve"> and 600 – 950 cm</w:t>
      </w:r>
      <w:r w:rsidRPr="001519D1">
        <w:rPr>
          <w:rFonts w:ascii="Arial" w:hAnsi="Arial" w:cs="Arial"/>
          <w:vertAlign w:val="superscript"/>
          <w:lang w:val="en-US"/>
        </w:rPr>
        <w:t>-1</w:t>
      </w:r>
      <w:r w:rsidRPr="001519D1">
        <w:rPr>
          <w:rFonts w:ascii="Arial" w:hAnsi="Arial" w:cs="Arial"/>
          <w:lang w:val="en-US"/>
        </w:rPr>
        <w:t xml:space="preserve"> ranges. The europium f-f transitions corresponding to transitions from </w:t>
      </w:r>
      <w:r w:rsidRPr="001519D1">
        <w:rPr>
          <w:rFonts w:ascii="Arial" w:hAnsi="Arial" w:cs="Arial"/>
          <w:vertAlign w:val="superscript"/>
          <w:lang w:val="en-US"/>
        </w:rPr>
        <w:t>7</w:t>
      </w:r>
      <w:r w:rsidRPr="001519D1">
        <w:rPr>
          <w:rFonts w:ascii="Arial" w:hAnsi="Arial" w:cs="Arial"/>
          <w:lang w:val="en-US"/>
        </w:rPr>
        <w:t>F</w:t>
      </w:r>
      <w:r w:rsidRPr="001519D1">
        <w:rPr>
          <w:rFonts w:ascii="Arial" w:hAnsi="Arial" w:cs="Arial"/>
          <w:vertAlign w:val="subscript"/>
          <w:lang w:val="en-US"/>
        </w:rPr>
        <w:t>0</w:t>
      </w:r>
      <w:r w:rsidRPr="001519D1">
        <w:rPr>
          <w:rFonts w:ascii="Arial" w:hAnsi="Arial" w:cs="Arial"/>
          <w:lang w:val="en-US"/>
        </w:rPr>
        <w:t xml:space="preserve"> state towards </w:t>
      </w:r>
      <w:r w:rsidRPr="001519D1">
        <w:rPr>
          <w:rFonts w:ascii="Arial" w:hAnsi="Arial" w:cs="Arial"/>
          <w:vertAlign w:val="superscript"/>
          <w:lang w:val="en-US"/>
        </w:rPr>
        <w:t>7</w:t>
      </w:r>
      <w:r w:rsidRPr="001519D1">
        <w:rPr>
          <w:rFonts w:ascii="Arial" w:hAnsi="Arial" w:cs="Arial"/>
          <w:lang w:val="en-US"/>
        </w:rPr>
        <w:t>F</w:t>
      </w:r>
      <w:r w:rsidRPr="001519D1">
        <w:rPr>
          <w:rFonts w:ascii="Arial" w:hAnsi="Arial" w:cs="Arial"/>
          <w:vertAlign w:val="subscript"/>
          <w:lang w:val="en-US"/>
        </w:rPr>
        <w:t>J</w:t>
      </w:r>
      <w:r w:rsidRPr="001519D1">
        <w:rPr>
          <w:rFonts w:ascii="Arial" w:hAnsi="Arial" w:cs="Arial"/>
          <w:lang w:val="en-US"/>
        </w:rPr>
        <w:t xml:space="preserve"> states (at high wavelengths) or from </w:t>
      </w:r>
      <w:r w:rsidRPr="001519D1">
        <w:rPr>
          <w:rFonts w:ascii="Arial" w:hAnsi="Arial" w:cs="Arial"/>
          <w:vertAlign w:val="superscript"/>
          <w:lang w:val="en-US"/>
        </w:rPr>
        <w:t>7</w:t>
      </w:r>
      <w:r w:rsidRPr="001519D1">
        <w:rPr>
          <w:rFonts w:ascii="Arial" w:hAnsi="Arial" w:cs="Arial"/>
          <w:lang w:val="en-US"/>
        </w:rPr>
        <w:t>F</w:t>
      </w:r>
      <w:r w:rsidRPr="001519D1">
        <w:rPr>
          <w:rFonts w:ascii="Arial" w:hAnsi="Arial" w:cs="Arial"/>
          <w:vertAlign w:val="subscript"/>
          <w:lang w:val="en-US"/>
        </w:rPr>
        <w:t>J</w:t>
      </w:r>
      <w:r w:rsidRPr="001519D1">
        <w:rPr>
          <w:rFonts w:ascii="Arial" w:hAnsi="Arial" w:cs="Arial"/>
          <w:lang w:val="en-US"/>
        </w:rPr>
        <w:t xml:space="preserve"> levels towards excited </w:t>
      </w:r>
      <w:r w:rsidRPr="001519D1">
        <w:rPr>
          <w:rFonts w:ascii="Arial" w:hAnsi="Arial" w:cs="Arial"/>
          <w:vertAlign w:val="superscript"/>
          <w:lang w:val="en-US"/>
        </w:rPr>
        <w:t>5</w:t>
      </w:r>
      <w:r w:rsidRPr="001519D1">
        <w:rPr>
          <w:rFonts w:ascii="Arial" w:hAnsi="Arial" w:cs="Arial"/>
          <w:lang w:val="en-US"/>
        </w:rPr>
        <w:t>D</w:t>
      </w:r>
      <w:r w:rsidRPr="001519D1">
        <w:rPr>
          <w:rFonts w:ascii="Arial" w:hAnsi="Arial" w:cs="Arial"/>
          <w:vertAlign w:val="subscript"/>
          <w:lang w:val="en-US"/>
        </w:rPr>
        <w:t>1</w:t>
      </w:r>
      <w:r w:rsidRPr="001519D1">
        <w:rPr>
          <w:rFonts w:ascii="Arial" w:hAnsi="Arial" w:cs="Arial"/>
          <w:lang w:val="en-US"/>
        </w:rPr>
        <w:t xml:space="preserve"> state (Raman shifts less than ~1000 cm</w:t>
      </w:r>
      <w:r w:rsidRPr="001519D1">
        <w:rPr>
          <w:rFonts w:ascii="Arial" w:hAnsi="Arial" w:cs="Arial"/>
          <w:vertAlign w:val="superscript"/>
          <w:lang w:val="en-US"/>
        </w:rPr>
        <w:t>-1</w:t>
      </w:r>
      <w:r w:rsidRPr="001519D1">
        <w:rPr>
          <w:rFonts w:ascii="Arial" w:hAnsi="Arial" w:cs="Arial"/>
          <w:lang w:val="en-US"/>
        </w:rPr>
        <w:t xml:space="preserve">, </w:t>
      </w:r>
      <w:r w:rsidRPr="001519D1">
        <w:rPr>
          <w:rFonts w:ascii="Arial" w:hAnsi="Arial" w:cs="Arial"/>
          <w:i/>
          <w:iCs/>
          <w:lang w:val="en-US"/>
        </w:rPr>
        <w:t>i.e</w:t>
      </w:r>
      <w:r w:rsidRPr="001519D1">
        <w:rPr>
          <w:rFonts w:ascii="Arial" w:hAnsi="Arial" w:cs="Arial"/>
          <w:lang w:val="en-US"/>
        </w:rPr>
        <w:t>. wavelengths below 560 nm) are exhibited</w:t>
      </w:r>
      <w:r w:rsidR="007441A1" w:rsidRPr="001519D1">
        <w:rPr>
          <w:rFonts w:ascii="Arial" w:hAnsi="Arial" w:cs="Arial"/>
          <w:lang w:val="en-US"/>
        </w:rPr>
        <w:t xml:space="preserve"> </w:t>
      </w:r>
      <w:r w:rsidR="007441A1"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"10.1016/j.ccr.2015.02.015", "ISBN" : "0010-8545", "ISSN" : "00108545", "abstract" : "The trivalent europium ion (Eu3+) is well known for its strong luminescence in the red spectral region, but this ion is also interesting from a theoretical point of view. Due to the even number of electrons in the 4f shell (4f6 configuration), the crystal-field perturbation by the crystalline host matrix lifts partly or completely the degeneracies of the 2S+1LJ levels. The Eu3+ ion has the great advantage over other lanthanide ions with an even number of 4f electrons that the starting levels of the transitions in both the absorption and the luminescence spectrum are non-degenerate (J=0). Moreover, the interpretation of the spectra is facilitated by the small total angular momentum J of the end levels in the transitions. The number of lines observed for the 5D0???7FJ transitions in the luminescence spectrum or the 5DJ???7F0 transitions in the absorption spectrum allows determining the site symmetry of the Eu3+ ion. This review describes the spectroscopic properties of the trivalent europium ion, with emphasis on the energy level structure, the intensities of the f-f transitions (including the Judd-Ofelt theory), the decay times of the excited states and the use of the Eu3+ ion as a spectroscopic probe for site symmetry determination. It is illustrated how the maximum amount of information can be extracted from optical absorption and luminescence spectra of europium(III) compounds, and how pitfalls in the interpretation of these spectra can be avoided.", "author" : [ { "dropping-particle" : "", "family" : "Binnemans", "given" : "Koen", "non-dropping-particle" : "", "parse-names" : false, "suffix" : "" } ], "container-title" : "Coordination Chemistry Reviews", "id" : "ITEM-1", "issued" : { "date-parts" : [ [ "2015" ] ] }, "page" : "1-45", "publisher" : "Elsevier B.V.", "title" : "Interpretation of europium(III) spectra", "type" : "article-journal", "volume" : "295" }, "uris" : [ "http://www.mendeley.com/documents/?uuid=4551919c-e43f-4085-8294-deb5557d4381" ] } ], "mendeley" : { "formattedCitation" : "[58]", "plainTextFormattedCitation" : "[58]", "previouslyFormattedCitation" : "[58]" }, "properties" : { "noteIndex" : 0 }, "schema" : "https://github.com/citation-style-language/schema/raw/master/csl-citation.json" }</w:instrText>
      </w:r>
      <w:r w:rsidR="007441A1" w:rsidRPr="001519D1">
        <w:rPr>
          <w:rFonts w:ascii="Arial" w:hAnsi="Arial" w:cs="Arial"/>
          <w:lang w:val="en-US"/>
        </w:rPr>
        <w:fldChar w:fldCharType="separate"/>
      </w:r>
      <w:r w:rsidR="00C76F86" w:rsidRPr="001519D1">
        <w:rPr>
          <w:rFonts w:ascii="Arial" w:hAnsi="Arial" w:cs="Arial"/>
          <w:noProof/>
          <w:lang w:val="en-US"/>
        </w:rPr>
        <w:t>[58]</w:t>
      </w:r>
      <w:r w:rsidR="007441A1" w:rsidRPr="001519D1">
        <w:rPr>
          <w:rFonts w:ascii="Arial" w:hAnsi="Arial" w:cs="Arial"/>
          <w:lang w:val="en-US"/>
        </w:rPr>
        <w:fldChar w:fldCharType="end"/>
      </w:r>
      <w:r w:rsidR="007441A1" w:rsidRPr="001519D1">
        <w:rPr>
          <w:rFonts w:ascii="Arial" w:hAnsi="Arial" w:cs="Arial"/>
          <w:lang w:val="en-US"/>
        </w:rPr>
        <w:t>.</w:t>
      </w:r>
      <w:r w:rsidRPr="001519D1">
        <w:rPr>
          <w:rFonts w:ascii="Arial" w:hAnsi="Arial" w:cs="Arial"/>
          <w:lang w:val="en-US"/>
        </w:rPr>
        <w:t xml:space="preserve"> Luminescence spectra of europium compounds are deeply discussed elsewhere</w:t>
      </w:r>
      <w:r w:rsidR="007441A1" w:rsidRPr="001519D1">
        <w:rPr>
          <w:rFonts w:ascii="Arial" w:hAnsi="Arial" w:cs="Arial"/>
          <w:lang w:val="en-US"/>
        </w:rPr>
        <w:t xml:space="preserve"> </w:t>
      </w:r>
      <w:r w:rsidR="007441A1"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"10.1016/j.ccr.2015.02.015", "ISBN" : "0010-8545", "ISSN" : "00108545", "abstract" : "The trivalent europium ion (Eu3+) is well known for its strong luminescence in the red spectral region, but this ion is also interesting from a theoretical point of view. Due to the even number of electrons in the 4f shell (4f6 configuration), the crystal-field perturbation by the crystalline host matrix lifts partly or completely the degeneracies of the 2S+1LJ levels. The Eu3+ ion has the great advantage over other lanthanide ions with an even number of 4f electrons that the starting levels of the transitions in both the absorption and the luminescence spectrum are non-degenerate (J=0). Moreover, the interpretation of the spectra is facilitated by the small total angular momentum J of the end levels in the transitions. The number of lines observed for the 5D0???7FJ transitions in the luminescence spectrum or the 5DJ???7F0 transitions in the absorption spectrum allows determining the site symmetry of the Eu3+ ion. This review describes the spectroscopic properties of the trivalent europium ion, with emphasis on the energy level structure, the intensities of the f-f transitions (including the Judd-Ofelt theory), the decay times of the excited states and the use of the Eu3+ ion as a spectroscopic probe for site symmetry determination. It is illustrated how the maximum amount of information can be extracted from optical absorption and luminescence spectra of europium(III) compounds, and how pitfalls in the interpretation of these spectra can be avoided.", "author" : [ { "dropping-particle" : "", "family" : "Binnemans", "given" : "Koen", "non-dropping-particle" : "", "parse-names" : false, "suffix" : "" } ], "container-title" : "Coordination Chemistry Reviews", "id" : "ITEM-1", "issued" : { "date-parts" : [ [ "2015" ] ] }, "page" : "1-45", "publisher" : "Elsevier B.V.", "title" : "Interpretation of europium(III) spectra", "type" : "article-journal", "volume" : "295" }, "uris" : [ "http://www.mendeley.com/documents/?uuid=4551919c-e43f-4085-8294-deb5557d4381" ] }, { "id" : "ITEM-2", "itemData" : { "DOI" : "10.1016/j.apcatb.2018.03.001", "ISSN" : "09263373", "abstract" : "Eu-doped ZrO2solid solutions have been synthesized in order to prepare proton conductors as water-enhancer additives for the WGS reaction. Elemental characterization has been carried out revealing homogeneous dopant distribution resulting in fluorite-type solid solutions for Eu2O3contents up to \u223c9 mol.%. Representative samples of the Eu-doped ZrO2series have been analysed by Impedance Spectroscopy (IS) in inert, oxygen and wet conditions. The solid solution with 5 mol.% of Eu2O3has presented the highest conductivity values for all tested conditions indicating an optimal amount of dopant. Moreover, the presence of vapour pressure results in an increment of the conductivity at temperatures lower than 300 \u00b0C, meanwhile at higher temperatures the conductivity is the same than that in inert conditions. To elucidate these results, in situ DRIFTS studies were carried out. These experiments evidenced the existence of water dissociation at oxygen vacancies (band at 3724 cm\u22121) as well as the presence of physisorbed water at temperatures up to \u223c300 \u00b0C where the band at 5248 cm\u22121characteristic of these species disappeared. These results points to a layer model where the physisorbed water interacts with surface hydroxyls generated by dissociated water that improves the proton conductivity through Grotthuss\u2019 mechanism in the RT-300 \u00b0C temperature range. These samples were successfully tested in WGS reaction as additive to a typical Pt-based catalyst. The presence of the mixed oxide reveals an increase of the catalyst\u2019 activity assisted by the proton conductor, since improves the water activation step.", "author" : [ { "dropping-particle" : "", "family" : "Garc\u00eda-Moncada", "given" : "Nuria", "non-dropping-particle" : "", "parse-names" : false, "suffix" : "" }, { "dropping-particle" : "", "family" : "Bobadilla", "given" : "Luis F.", "non-dropping-particle" : "", "parse-names" : false, "suffix" : "" }, { "dropping-particle" : "", "family" : "Poyato", "given" : "Rosal\u00eda", "non-dropping-particle" : "", "parse-names" : false, "suffix" : "" }, { "dropping-particle" : "", "family" : "L\u00f3pez-Cartes", "given" : "Carlos", "non-dropping-particle" : "", "parse-names" : false, "suffix" : "" }, { "dropping-particle" : "", "family" : "Romero-Sarria", "given" : "Francisca", "non-dropping-particle" : "", "parse-names" : false, "suffix" : "" }, { "dropping-particle" : "", "family" : "Centeno", "given" : "Miguel \u00c1ngel", "non-dropping-particle" : "", "parse-names" : false, "suffix" : "" }, { "dropping-particle" : "", "family" : "Odriozola", "given" : "Jos\u00e9 Antonio", "non-dropping-particle" : "", "parse-names" : false, "suffix" : "" } ], "container-title" : "Applied Catalysis B: Environmental", "id" : "ITEM-2", "issued" : { "date-parts" : [ [ "2018" ] ] }, "page" : "343-356", "publisher" : "Elsevier", "title" : "A direct in situ observation of water-enhanced proton conductivity of Eu-doped ZrO2: Effect on WGS reaction", "type" : "article-journal", "volume" : "231" }, "uris" : [ "http://www.mendeley.com/documents/?uuid=2791e843-8b51-456b-9c4d-1590f34730e1" ] }, { "id" : "ITEM-3", "itemData" : { "DOI" : "10.1021/jp3040538", "ISSN" : "1932-7447", "author" : [ { "dropping-particle" : "", "family" : "Tiseanu", "given" : "Carmen", "non-dropping-particle" : "", "parse-names" : false, "suffix" : "" }, { "dropping-particle" : "", "family" : "Parvulescu", "given" : "Vasile I.", "non-dropping-particle" : "", "parse-names" : false, "suffix" : "" }, { "dropping-particle" : "", "family" : "Cojocaru", "given" : "Bogdan", "non-dropping-particle" : "", "parse-names" : false, "suffix" : "" }, { "dropping-particle" : "", "family" : "Pemartin", "given" : "Kelly", "non-dropping-particle" : "", "parse-names" : false, "suffix" : "" }, { "dropping-particle" : "", "family" : "Sanchez-Dominguez", "given" : "Margarita", "non-dropping-particle" : "", "parse-names" : false, "suffix" : "" }, { "dropping-particle" : "", "family" : "Boutonnet", "given" : "Magali", "non-dropping-particle" : "", "parse-names" : false, "suffix" : "" } ], "container-title" : "The Journal of Physical Chemistry C", "id" : "ITEM-3", "issue" : "31", "issued" : { "date-parts" : [ [ "2012" ] ] }, "page" : "16776-16783", "title" : "In situ Raman and Time-Resolved Luminescence Investigation of the Local Structure of ZrO2 in the Amorphous to Crystalline Phase Transition", "type" : "article-journal", "volume" : "116" }, "uris" : [ "http://www.mendeley.com/documents/?uuid=670e6a32-ff7b-492b-9eac-86979916e4ac" ] }, { "id" : "ITEM-4", "itemData" : { "abstract" : "Optical absorption and emission spectra and relaxation of Eu 3+ ions and of Cr ~+ impurities in a Eu(PO3)3 glass are reported. Europium fluorescence occurs from the ~Do state with near-unity quantum efficiency at low emperatures. The Cr a+ fluorescence occurs in the form of a broadband emission in the near-infrared which is attributed to Stokes-shifted 4T2 ~ 4A._, transitions. The Eu :'\u00a7 emission overlaps the Cr a+ absorption bands and both radiative and nonradiative Eu '~\u00a7 --~ Cr a+ energy transfer were observed. To investigate the transfer processes, the Eu 3+ fluorescence decays were measured as a function of temperature and chromium concentration. The results indicate that non- radiative energy transfer involves a combination of energy migration through the Eu ~+ system and transfer to fast-relaxing Cr a\u00a7 ions which act as quenching centers.", "author" : [ { "dropping-particle" : "", "family" : "Weber", "given" : "M.J.", "non-dropping-particle" : "", "parse-names" : false, "suffix" : "" }, { "dropping-particle" : "", "family" : "Sharp", "given" : "E.J.", "non-dropping-particle" : "", "parse-names" : false, "suffix" : "" }, { "dropping-particle" : "", "family" : "Miller", "given" : "J.E.", "non-dropping-particle" : "", "parse-names" : false, "suffix" : "" } ], "container-title" : "Journal of Physics and Chemistry of Solids", "id" : "ITEM-4", "issued" : { "date-parts" : [ [ "1971" ] ] }, "page" : "2275-2284", "title" : "Optical spectra, relaxation, and energy transfer of Eu3+ and Cr3+ in a europium phosphate glass", "type" : "article-journal", "volume" : "32" }, "uris" : [ "http://www.mendeley.com/documents/?uuid=2c90e8bf-792b-4798-b4de-723c0acbd3e9" ] }, { "id" : "ITEM-5", "itemData" : { "DOI" : "10.1039/c2cp41946g", "ISBN" : "1463-9076", "ISSN" : "1463-9076", "PMID" : "22903237", "abstract" : "Pure and europium (Eu(3+)) doped ZrO(2) synthesized by an oil-in-water microemulsion reaction method were investigated by in situ and ex situ X-ray diffraction (XRD), ex situ Raman spectroscopy, high-resolution transmission electron microscopy (HRTEM), steady state and time-resolved photoluminescence (PL) spectroscopies. Based on the Raman spectra excited at three different wavelengths i.e. 488, 514 and 633 nm and measured in the spectral range of 150-4000 cm(-1) the correlation between the phonon spectra of ZrO(2) and luminescence of europium is clearly evidenced. The PL investigations span a variety of steady-state and time resolved measurements recorded either after direct excitation of the Eu(3+) f-f transitions or indirect excitation into UV charge-transfer bands. After annealing at 500 \u00b0C, the overall Eu(3+) emission is dominated by Eu(3+) located in tetragonal symmetry lattice sites with a crystal-field splitting of the (5)D(0)-(7)F(1) emission of 20 cm(-1). Annealing of ZrO(2) at 1000 \u00b0C leads to a superposition of Eu(3+) emissions from tetragonal and monoclinic lattice sites with monoclinic crystal-field splitting of 200 cm(-1) for the (5)D(0)-(7)F(1) transition. At all temperatures, a non-negligible amorphous/disordered content is also measured and determined to be of monoclinic nature. It was found that the evolutions with calcination temperature of the average PL lifetimes corresponding to europium emission in the tetragonal and monoclinic sites and the monoclinic phase content of the Eu(3+) doped ZrO(2) samples follow a similar trend. By use of specific excitation conditions, the distribution of europium on the amorphous/disordered surface or ordered/crystalline sites can be identified and related to the phase content of zirconia. The role of zirconia host as a sensitizer for the europium PL is also discussed in both tetragonal and monoclinic phases.", "author" : [ { "dropping-particle" : "", "family" : "Tiseanu", "given" : "Carmen", "non-dropping-particle" : "", "parse-names" : false, "suffix" : "" }, { "dropping-particle" : "", "family" : "Cojocaru", "given" : "Bogdan", "non-dropping-particle" : "", "parse-names" : false, "suffix" : "" }, { "dropping-particle" : "", "family" : "Parvulescu", "given" : "Vasile I.", "non-dropping-particle" : "", "parse-names" : false, "suffix" : "" }, { "dropping-particle" : "", "family" : "Sanchez-Dominguez", "given" : "Margarita", "non-dropping-particle" : "", "parse-names" : false, "suffix" : "" }, { "dropping-particle" : "", "family" : "Primus", "given" : "Philipp A.", "non-dropping-particle" : "", "parse-names" : false, "suffix" : "" }, { "dropping-particle" : "", "family" : "Boutonnet", "given" : "Magali", "non-dropping-particle" : "", "parse-names" : false, "suffix" : "" } ], "container-title" : "Physical Chemistry Chemical Physics", "id" : "ITEM-5", "issue" : "37", "issued" : { "date-parts" : [ [ "2012" ] ] }, "page" : "12970-12981", "title" : "Order and disorder effects in nano-ZrO2 investigated by micro-Raman and spectrally and temporarily resolved photoluminescence", "type" : "article-journal", "volume" : "14" }, "uris" : [ "http://www.mendeley.com/documents/?uuid=f27214f7-336c-4a34-a06c-a5f913bc8387" ] }, { "id" : "ITEM-6", "itemData" : { "DOI" : "10.1021/la0604883", "ISSN" : "07437463", "PMID" : "16800693", "abstract" : "The sol-emulsion-gel method is used for the preparation of Eu3+ ion-doped and coated ZrO2 nanocrystals. Here, we report the role of surface coating, dopant concentration, and temperature of heating in the modification of their crystal structure and photoluminescence properties. It is found that the volume fraction of the tetragonal phase increases from 28.08 to 91.56% because of surface coating. This is a significant modification of the crystal phase in ZrO2 nanocrystals due to surface coating by Eu2O3. It is found that the photoluminescence properties are sensitive to the crystal structure, which is again controlled by surface coating, concentration, and heating temperature. It is found that the decay time (tau) of Eu-doped ZrO2 nanocrystals increases with increasing the concentration of dopant and with increasing the temperature of heating because of changes in their crystal phase. The emission intensity of the peak at 611-617 nm (5D0 --&gt; 7F2) of the Eu3+ ion-activated ZrO2 nanocrystals (doped and coated) is also found to be sensitive to the nanoenvironment. The average decay times are 770 and 488 mus for 1100 degrees C-heated 1.0 mol % Eu2O3-doped and coated ZrO2 nanocrystals, respectively. Our analysis suggests that the site symmetry of the ions plays the most important role in the modifications of the radiative and nonradiative relaxation mechanisms as a result of the overall photoluminescence properties.", "author" : [ { "dropping-particle" : "", "family" : "Ghosh", "given" : "Pushpal", "non-dropping-particle" : "", "parse-names" : false, "suffix" : "" }, { "dropping-particle" : "", "family" : "Patra", "given" : "Amitava", "non-dropping-particle" : "", "parse-names" : false, "suffix" : "" } ], "container-title" : "Langmuir", "id" : "ITEM-6", "issue" : "14", "issued" : { "date-parts" : [ [ "2006" ] ] }, "page" : "6321-6327", "title" : "Role of Surface Coating in ZrO2/Eu3+ Nanocrystals", "type" : "article-journal", "volume" : "22" }, "uris" : [ "http://www.mendeley.com/documents/?uuid=60b071ce-aca5-440f-8884-fe7459801bcf" ] } ], "mendeley" : { "formattedCitation" : "[6,58\u201362]", "plainTextFormattedCitation" : "[6,58\u201362]", "previouslyFormattedCitation" : "[6,58\u201362]" }, "properties" : { "noteIndex" : 0 }, "schema" : "https://github.com/citation-style-language/schema/raw/master/csl-citation.json" }</w:instrText>
      </w:r>
      <w:r w:rsidR="007441A1" w:rsidRPr="001519D1">
        <w:rPr>
          <w:rFonts w:ascii="Arial" w:hAnsi="Arial" w:cs="Arial"/>
          <w:lang w:val="en-US"/>
        </w:rPr>
        <w:fldChar w:fldCharType="separate"/>
      </w:r>
      <w:r w:rsidR="00C76F86" w:rsidRPr="001519D1">
        <w:rPr>
          <w:rFonts w:ascii="Arial" w:hAnsi="Arial" w:cs="Arial"/>
          <w:noProof/>
          <w:lang w:val="en-US"/>
        </w:rPr>
        <w:t>[6,58–62]</w:t>
      </w:r>
      <w:r w:rsidR="007441A1" w:rsidRPr="001519D1">
        <w:rPr>
          <w:rFonts w:ascii="Arial" w:hAnsi="Arial" w:cs="Arial"/>
          <w:lang w:val="en-US"/>
        </w:rPr>
        <w:fldChar w:fldCharType="end"/>
      </w:r>
      <w:r w:rsidR="007441A1" w:rsidRPr="001519D1">
        <w:rPr>
          <w:rFonts w:ascii="Arial" w:hAnsi="Arial" w:cs="Arial"/>
          <w:lang w:val="en-US"/>
        </w:rPr>
        <w:t>.</w:t>
      </w:r>
      <w:r w:rsidRPr="001519D1">
        <w:rPr>
          <w:rFonts w:ascii="Arial" w:hAnsi="Arial" w:cs="Arial"/>
          <w:lang w:val="en-US"/>
        </w:rPr>
        <w:t xml:space="preserve"> Interestingly, in general the presence of Mo has implied the widening and the shifting towards lower wavelengths (red shift) of the bands indicating that the f-f transitions are more favored, especially those that include an excited state (like </w:t>
      </w:r>
      <w:r w:rsidRPr="001519D1">
        <w:rPr>
          <w:rFonts w:ascii="Arial" w:hAnsi="Arial" w:cs="Arial"/>
          <w:vertAlign w:val="superscript"/>
          <w:lang w:val="en-US"/>
        </w:rPr>
        <w:t>7</w:t>
      </w:r>
      <w:r w:rsidRPr="001519D1">
        <w:rPr>
          <w:rFonts w:ascii="Arial" w:hAnsi="Arial" w:cs="Arial"/>
          <w:lang w:val="en-US"/>
        </w:rPr>
        <w:t>F</w:t>
      </w:r>
      <w:r w:rsidRPr="001519D1">
        <w:rPr>
          <w:rFonts w:ascii="Arial" w:hAnsi="Arial" w:cs="Arial"/>
          <w:vertAlign w:val="subscript"/>
          <w:lang w:val="en-US"/>
        </w:rPr>
        <w:t>1</w:t>
      </w:r>
      <w:r w:rsidRPr="001519D1">
        <w:rPr>
          <w:rFonts w:ascii="Arial" w:hAnsi="Arial" w:cs="Arial"/>
          <w:lang w:val="en-US"/>
        </w:rPr>
        <w:t xml:space="preserve"> → </w:t>
      </w:r>
      <w:r w:rsidRPr="001519D1">
        <w:rPr>
          <w:rFonts w:ascii="Arial" w:hAnsi="Arial" w:cs="Arial"/>
          <w:vertAlign w:val="superscript"/>
          <w:lang w:val="en-US"/>
        </w:rPr>
        <w:t>5</w:t>
      </w:r>
      <w:r w:rsidRPr="001519D1">
        <w:rPr>
          <w:rFonts w:ascii="Arial" w:hAnsi="Arial" w:cs="Arial"/>
          <w:lang w:val="en-US"/>
        </w:rPr>
        <w:t>D</w:t>
      </w:r>
      <w:r w:rsidRPr="001519D1">
        <w:rPr>
          <w:rFonts w:ascii="Arial" w:hAnsi="Arial" w:cs="Arial"/>
          <w:vertAlign w:val="subscript"/>
          <w:lang w:val="en-US"/>
        </w:rPr>
        <w:t>1</w:t>
      </w:r>
      <w:r w:rsidRPr="001519D1">
        <w:rPr>
          <w:rFonts w:ascii="Arial" w:hAnsi="Arial" w:cs="Arial"/>
          <w:lang w:val="en-US"/>
        </w:rPr>
        <w:t xml:space="preserve">, </w:t>
      </w:r>
      <w:r w:rsidRPr="001519D1">
        <w:rPr>
          <w:rFonts w:ascii="Arial" w:hAnsi="Arial" w:cs="Arial"/>
          <w:vertAlign w:val="superscript"/>
          <w:lang w:val="en-US"/>
        </w:rPr>
        <w:t>7</w:t>
      </w:r>
      <w:r w:rsidRPr="001519D1">
        <w:rPr>
          <w:rFonts w:ascii="Arial" w:hAnsi="Arial" w:cs="Arial"/>
          <w:lang w:val="en-US"/>
        </w:rPr>
        <w:t>F</w:t>
      </w:r>
      <w:r w:rsidRPr="001519D1">
        <w:rPr>
          <w:rFonts w:ascii="Arial" w:hAnsi="Arial" w:cs="Arial"/>
          <w:vertAlign w:val="subscript"/>
          <w:lang w:val="en-US"/>
        </w:rPr>
        <w:t>2</w:t>
      </w:r>
      <w:r w:rsidRPr="001519D1">
        <w:rPr>
          <w:rFonts w:ascii="Arial" w:hAnsi="Arial" w:cs="Arial"/>
          <w:lang w:val="en-US"/>
        </w:rPr>
        <w:t xml:space="preserve"> → </w:t>
      </w:r>
      <w:r w:rsidRPr="001519D1">
        <w:rPr>
          <w:rFonts w:ascii="Arial" w:hAnsi="Arial" w:cs="Arial"/>
          <w:vertAlign w:val="superscript"/>
          <w:lang w:val="en-US"/>
        </w:rPr>
        <w:t>5</w:t>
      </w:r>
      <w:r w:rsidRPr="001519D1">
        <w:rPr>
          <w:rFonts w:ascii="Arial" w:hAnsi="Arial" w:cs="Arial"/>
          <w:lang w:val="en-US"/>
        </w:rPr>
        <w:t>D</w:t>
      </w:r>
      <w:r w:rsidRPr="001519D1">
        <w:rPr>
          <w:rFonts w:ascii="Arial" w:hAnsi="Arial" w:cs="Arial"/>
          <w:vertAlign w:val="subscript"/>
          <w:lang w:val="en-US"/>
        </w:rPr>
        <w:t>1</w:t>
      </w:r>
      <w:r w:rsidRPr="001519D1">
        <w:rPr>
          <w:rFonts w:ascii="Arial" w:hAnsi="Arial" w:cs="Arial"/>
          <w:lang w:val="en-US"/>
        </w:rPr>
        <w:t xml:space="preserve">, </w:t>
      </w:r>
      <w:r w:rsidRPr="001519D1">
        <w:rPr>
          <w:rFonts w:ascii="Arial" w:hAnsi="Arial" w:cs="Arial"/>
          <w:vertAlign w:val="superscript"/>
          <w:lang w:val="en-US"/>
        </w:rPr>
        <w:t>7</w:t>
      </w:r>
      <w:r w:rsidRPr="001519D1">
        <w:rPr>
          <w:rFonts w:ascii="Arial" w:hAnsi="Arial" w:cs="Arial"/>
          <w:lang w:val="en-US"/>
        </w:rPr>
        <w:t>F</w:t>
      </w:r>
      <w:r w:rsidRPr="001519D1">
        <w:rPr>
          <w:rFonts w:ascii="Arial" w:hAnsi="Arial" w:cs="Arial"/>
          <w:vertAlign w:val="subscript"/>
          <w:lang w:val="en-US"/>
        </w:rPr>
        <w:t>2</w:t>
      </w:r>
      <w:r w:rsidRPr="001519D1">
        <w:rPr>
          <w:rFonts w:ascii="Arial" w:hAnsi="Arial" w:cs="Arial"/>
          <w:lang w:val="en-US"/>
        </w:rPr>
        <w:t xml:space="preserve"> → </w:t>
      </w:r>
      <w:r w:rsidRPr="001519D1">
        <w:rPr>
          <w:rFonts w:ascii="Arial" w:hAnsi="Arial" w:cs="Arial"/>
          <w:vertAlign w:val="superscript"/>
          <w:lang w:val="en-US"/>
        </w:rPr>
        <w:t>5</w:t>
      </w:r>
      <w:r w:rsidRPr="001519D1">
        <w:rPr>
          <w:rFonts w:ascii="Arial" w:hAnsi="Arial" w:cs="Arial"/>
          <w:lang w:val="en-US"/>
        </w:rPr>
        <w:t>D</w:t>
      </w:r>
      <w:r w:rsidRPr="001519D1">
        <w:rPr>
          <w:rFonts w:ascii="Arial" w:hAnsi="Arial" w:cs="Arial"/>
          <w:vertAlign w:val="subscript"/>
          <w:lang w:val="en-US"/>
        </w:rPr>
        <w:t>0</w:t>
      </w:r>
      <w:r w:rsidRPr="001519D1">
        <w:rPr>
          <w:rFonts w:ascii="Arial" w:hAnsi="Arial" w:cs="Arial"/>
          <w:lang w:val="en-US"/>
        </w:rPr>
        <w:t xml:space="preserve"> and </w:t>
      </w:r>
      <w:r w:rsidRPr="001519D1">
        <w:rPr>
          <w:rFonts w:ascii="Arial" w:hAnsi="Arial" w:cs="Arial"/>
          <w:vertAlign w:val="superscript"/>
          <w:lang w:val="en-US"/>
        </w:rPr>
        <w:t>7</w:t>
      </w:r>
      <w:r w:rsidRPr="001519D1">
        <w:rPr>
          <w:rFonts w:ascii="Arial" w:hAnsi="Arial" w:cs="Arial"/>
          <w:lang w:val="en-US"/>
        </w:rPr>
        <w:t>F</w:t>
      </w:r>
      <w:r w:rsidRPr="001519D1">
        <w:rPr>
          <w:rFonts w:ascii="Arial" w:hAnsi="Arial" w:cs="Arial"/>
          <w:vertAlign w:val="subscript"/>
          <w:lang w:val="en-US"/>
        </w:rPr>
        <w:t>3</w:t>
      </w:r>
      <w:r w:rsidRPr="001519D1">
        <w:rPr>
          <w:rFonts w:ascii="Arial" w:hAnsi="Arial" w:cs="Arial"/>
          <w:lang w:val="en-US"/>
        </w:rPr>
        <w:t xml:space="preserve"> → </w:t>
      </w:r>
      <w:r w:rsidRPr="001519D1">
        <w:rPr>
          <w:rFonts w:ascii="Arial" w:hAnsi="Arial" w:cs="Arial"/>
          <w:vertAlign w:val="superscript"/>
          <w:lang w:val="en-US"/>
        </w:rPr>
        <w:t>5</w:t>
      </w:r>
      <w:r w:rsidRPr="001519D1">
        <w:rPr>
          <w:rFonts w:ascii="Arial" w:hAnsi="Arial" w:cs="Arial"/>
          <w:lang w:val="en-US"/>
        </w:rPr>
        <w:t>D</w:t>
      </w:r>
      <w:r w:rsidRPr="001519D1">
        <w:rPr>
          <w:rFonts w:ascii="Arial" w:hAnsi="Arial" w:cs="Arial"/>
          <w:vertAlign w:val="subscript"/>
          <w:lang w:val="en-US"/>
        </w:rPr>
        <w:t>0</w:t>
      </w:r>
      <w:r w:rsidRPr="001519D1">
        <w:rPr>
          <w:rFonts w:ascii="Arial" w:hAnsi="Arial" w:cs="Arial"/>
          <w:lang w:val="en-US"/>
        </w:rPr>
        <w:t xml:space="preserve"> transitions, Figure 7). Contrary, the </w:t>
      </w:r>
      <w:r w:rsidRPr="001519D1">
        <w:rPr>
          <w:rFonts w:ascii="Arial" w:hAnsi="Arial" w:cs="Arial"/>
          <w:vertAlign w:val="superscript"/>
          <w:lang w:val="en-US"/>
        </w:rPr>
        <w:t>7</w:t>
      </w:r>
      <w:r w:rsidRPr="001519D1">
        <w:rPr>
          <w:rFonts w:ascii="Arial" w:hAnsi="Arial" w:cs="Arial"/>
          <w:lang w:val="en-US"/>
        </w:rPr>
        <w:t>F</w:t>
      </w:r>
      <w:r w:rsidRPr="001519D1">
        <w:rPr>
          <w:rFonts w:ascii="Arial" w:hAnsi="Arial" w:cs="Arial"/>
          <w:vertAlign w:val="subscript"/>
          <w:lang w:val="en-US"/>
        </w:rPr>
        <w:t>0</w:t>
      </w:r>
      <w:r w:rsidRPr="001519D1">
        <w:rPr>
          <w:rFonts w:ascii="Arial" w:hAnsi="Arial" w:cs="Arial"/>
          <w:lang w:val="en-US"/>
        </w:rPr>
        <w:t xml:space="preserve"> → </w:t>
      </w:r>
      <w:r w:rsidRPr="001519D1">
        <w:rPr>
          <w:rFonts w:ascii="Arial" w:hAnsi="Arial" w:cs="Arial"/>
          <w:vertAlign w:val="superscript"/>
          <w:lang w:val="en-US"/>
        </w:rPr>
        <w:t>5</w:t>
      </w:r>
      <w:r w:rsidRPr="001519D1">
        <w:rPr>
          <w:rFonts w:ascii="Arial" w:hAnsi="Arial" w:cs="Arial"/>
          <w:lang w:val="en-US"/>
        </w:rPr>
        <w:t>D</w:t>
      </w:r>
      <w:r w:rsidRPr="001519D1">
        <w:rPr>
          <w:rFonts w:ascii="Arial" w:hAnsi="Arial" w:cs="Arial"/>
          <w:vertAlign w:val="subscript"/>
          <w:lang w:val="en-US"/>
        </w:rPr>
        <w:t>0</w:t>
      </w:r>
      <w:r w:rsidRPr="001519D1">
        <w:rPr>
          <w:rFonts w:ascii="Arial" w:hAnsi="Arial" w:cs="Arial"/>
          <w:lang w:val="en-US"/>
        </w:rPr>
        <w:t xml:space="preserve"> transition appears at higher energy (blue shift) and the intensity is increased when the Mo is added but keeping constant on increasing the molybdenum loading. This transition (</w:t>
      </w:r>
      <w:r w:rsidRPr="001519D1">
        <w:rPr>
          <w:rFonts w:ascii="Arial" w:hAnsi="Arial" w:cs="Arial"/>
          <w:vertAlign w:val="superscript"/>
          <w:lang w:val="en-US"/>
        </w:rPr>
        <w:t>7</w:t>
      </w:r>
      <w:r w:rsidRPr="001519D1">
        <w:rPr>
          <w:rFonts w:ascii="Arial" w:hAnsi="Arial" w:cs="Arial"/>
          <w:lang w:val="en-US"/>
        </w:rPr>
        <w:t>F</w:t>
      </w:r>
      <w:r w:rsidRPr="001519D1">
        <w:rPr>
          <w:rFonts w:ascii="Arial" w:hAnsi="Arial" w:cs="Arial"/>
          <w:vertAlign w:val="subscript"/>
          <w:lang w:val="en-US"/>
        </w:rPr>
        <w:t>0</w:t>
      </w:r>
      <w:r w:rsidRPr="001519D1">
        <w:rPr>
          <w:rFonts w:ascii="Arial" w:hAnsi="Arial" w:cs="Arial"/>
          <w:lang w:val="en-US"/>
        </w:rPr>
        <w:t xml:space="preserve"> → </w:t>
      </w:r>
      <w:r w:rsidRPr="001519D1">
        <w:rPr>
          <w:rFonts w:ascii="Arial" w:hAnsi="Arial" w:cs="Arial"/>
          <w:vertAlign w:val="superscript"/>
          <w:lang w:val="en-US"/>
        </w:rPr>
        <w:t>5</w:t>
      </w:r>
      <w:r w:rsidRPr="001519D1">
        <w:rPr>
          <w:rFonts w:ascii="Arial" w:hAnsi="Arial" w:cs="Arial"/>
          <w:lang w:val="en-US"/>
        </w:rPr>
        <w:t>D</w:t>
      </w:r>
      <w:r w:rsidRPr="001519D1">
        <w:rPr>
          <w:rFonts w:ascii="Arial" w:hAnsi="Arial" w:cs="Arial"/>
          <w:vertAlign w:val="subscript"/>
          <w:lang w:val="en-US"/>
        </w:rPr>
        <w:t>0</w:t>
      </w:r>
      <w:r w:rsidRPr="001519D1">
        <w:rPr>
          <w:rFonts w:ascii="Arial" w:hAnsi="Arial" w:cs="Arial"/>
          <w:lang w:val="en-US"/>
        </w:rPr>
        <w:t xml:space="preserve"> at ~1530 cm</w:t>
      </w:r>
      <w:r w:rsidRPr="001519D1">
        <w:rPr>
          <w:rFonts w:ascii="Arial" w:hAnsi="Arial" w:cs="Arial"/>
          <w:vertAlign w:val="superscript"/>
          <w:lang w:val="en-US"/>
        </w:rPr>
        <w:t>-1</w:t>
      </w:r>
      <w:r w:rsidRPr="001519D1">
        <w:rPr>
          <w:rFonts w:ascii="Arial" w:hAnsi="Arial" w:cs="Arial"/>
          <w:lang w:val="en-US"/>
        </w:rPr>
        <w:t xml:space="preserve"> Raman shift, </w:t>
      </w:r>
      <w:r w:rsidRPr="001519D1">
        <w:rPr>
          <w:rFonts w:ascii="Arial" w:hAnsi="Arial" w:cs="Arial"/>
          <w:i/>
          <w:iCs/>
          <w:lang w:val="en-US"/>
        </w:rPr>
        <w:t>i.e.</w:t>
      </w:r>
      <w:r w:rsidRPr="001519D1">
        <w:rPr>
          <w:rFonts w:ascii="Arial" w:hAnsi="Arial" w:cs="Arial"/>
          <w:lang w:val="en-US"/>
        </w:rPr>
        <w:t xml:space="preserve"> 579 nm) is exhibited when the symmetry of Eu</w:t>
      </w:r>
      <w:r w:rsidRPr="001519D1">
        <w:rPr>
          <w:rFonts w:ascii="Arial" w:hAnsi="Arial" w:cs="Arial"/>
          <w:vertAlign w:val="superscript"/>
          <w:lang w:val="en-US"/>
        </w:rPr>
        <w:t>3+</w:t>
      </w:r>
      <w:r w:rsidRPr="001519D1">
        <w:rPr>
          <w:rFonts w:ascii="Arial" w:hAnsi="Arial" w:cs="Arial"/>
          <w:lang w:val="en-US"/>
        </w:rPr>
        <w:t xml:space="preserve"> atoms is low. Thus, the increment of its intensity reveals the contact between Mo and Eu atoms reducing the symmetry of the latter. Moreover, the </w:t>
      </w:r>
      <w:r w:rsidRPr="001519D1">
        <w:rPr>
          <w:rFonts w:ascii="Arial" w:hAnsi="Arial" w:cs="Arial"/>
          <w:vertAlign w:val="superscript"/>
          <w:lang w:val="en-US"/>
        </w:rPr>
        <w:t>7</w:t>
      </w:r>
      <w:r w:rsidRPr="001519D1">
        <w:rPr>
          <w:rFonts w:ascii="Arial" w:hAnsi="Arial" w:cs="Arial"/>
          <w:lang w:val="en-US"/>
        </w:rPr>
        <w:t>F</w:t>
      </w:r>
      <w:r w:rsidRPr="001519D1">
        <w:rPr>
          <w:rFonts w:ascii="Arial" w:hAnsi="Arial" w:cs="Arial"/>
          <w:vertAlign w:val="subscript"/>
          <w:lang w:val="en-US"/>
        </w:rPr>
        <w:t>1</w:t>
      </w:r>
      <w:r w:rsidRPr="001519D1">
        <w:rPr>
          <w:rFonts w:ascii="Arial" w:hAnsi="Arial" w:cs="Arial"/>
          <w:lang w:val="en-US"/>
        </w:rPr>
        <w:t xml:space="preserve"> → </w:t>
      </w:r>
      <w:r w:rsidRPr="001519D1">
        <w:rPr>
          <w:rFonts w:ascii="Arial" w:hAnsi="Arial" w:cs="Arial"/>
          <w:vertAlign w:val="superscript"/>
          <w:lang w:val="en-US"/>
        </w:rPr>
        <w:t>5</w:t>
      </w:r>
      <w:r w:rsidRPr="001519D1">
        <w:rPr>
          <w:rFonts w:ascii="Arial" w:hAnsi="Arial" w:cs="Arial"/>
          <w:lang w:val="en-US"/>
        </w:rPr>
        <w:t>D</w:t>
      </w:r>
      <w:r w:rsidRPr="001519D1">
        <w:rPr>
          <w:rFonts w:ascii="Arial" w:hAnsi="Arial" w:cs="Arial"/>
          <w:vertAlign w:val="subscript"/>
          <w:lang w:val="en-US"/>
        </w:rPr>
        <w:t>0</w:t>
      </w:r>
      <w:r w:rsidRPr="001519D1">
        <w:rPr>
          <w:rFonts w:ascii="Arial" w:hAnsi="Arial" w:cs="Arial"/>
          <w:lang w:val="en-US"/>
        </w:rPr>
        <w:t xml:space="preserve"> transition identified at ~591 nm (around 1880 cm</w:t>
      </w:r>
      <w:r w:rsidRPr="001519D1">
        <w:rPr>
          <w:rFonts w:ascii="Arial" w:hAnsi="Arial" w:cs="Arial"/>
          <w:vertAlign w:val="superscript"/>
          <w:lang w:val="en-US"/>
        </w:rPr>
        <w:t>-1</w:t>
      </w:r>
      <w:r w:rsidRPr="001519D1">
        <w:rPr>
          <w:rFonts w:ascii="Arial" w:hAnsi="Arial" w:cs="Arial"/>
          <w:lang w:val="en-US"/>
        </w:rPr>
        <w:t xml:space="preserve"> Raman shift) splits in three components between 588 and 594 nm due to the association between the oxygen vacancies and the Eu atoms of the Zr-Eu solid solution that necessarily indicates that the symmetry is orthorhombic or less. As the Mo is added, the splitting becomes broader due to the presence of many different Eu sites which stablishes again the influence of the Mo atoms in the Eu coordination. Analogously, it is not surprising that the </w:t>
      </w:r>
      <w:r w:rsidRPr="001519D1">
        <w:rPr>
          <w:rFonts w:ascii="Arial" w:hAnsi="Arial" w:cs="Arial"/>
          <w:vertAlign w:val="superscript"/>
          <w:lang w:val="en-US"/>
        </w:rPr>
        <w:t>7</w:t>
      </w:r>
      <w:r w:rsidRPr="001519D1">
        <w:rPr>
          <w:rFonts w:ascii="Arial" w:hAnsi="Arial" w:cs="Arial"/>
          <w:lang w:val="en-US"/>
        </w:rPr>
        <w:t>F</w:t>
      </w:r>
      <w:r w:rsidRPr="001519D1">
        <w:rPr>
          <w:rFonts w:ascii="Arial" w:hAnsi="Arial" w:cs="Arial"/>
          <w:vertAlign w:val="subscript"/>
          <w:lang w:val="en-US"/>
        </w:rPr>
        <w:t>2</w:t>
      </w:r>
      <w:r w:rsidRPr="001519D1">
        <w:rPr>
          <w:rFonts w:ascii="Arial" w:hAnsi="Arial" w:cs="Arial"/>
          <w:lang w:val="en-US"/>
        </w:rPr>
        <w:t xml:space="preserve"> → </w:t>
      </w:r>
      <w:r w:rsidRPr="001519D1">
        <w:rPr>
          <w:rFonts w:ascii="Arial" w:hAnsi="Arial" w:cs="Arial"/>
          <w:vertAlign w:val="superscript"/>
          <w:lang w:val="en-US"/>
        </w:rPr>
        <w:t>5</w:t>
      </w:r>
      <w:r w:rsidRPr="001519D1">
        <w:rPr>
          <w:rFonts w:ascii="Arial" w:hAnsi="Arial" w:cs="Arial"/>
          <w:lang w:val="en-US"/>
        </w:rPr>
        <w:t>D</w:t>
      </w:r>
      <w:r w:rsidRPr="001519D1">
        <w:rPr>
          <w:rFonts w:ascii="Arial" w:hAnsi="Arial" w:cs="Arial"/>
          <w:vertAlign w:val="subscript"/>
          <w:lang w:val="en-US"/>
        </w:rPr>
        <w:t>0</w:t>
      </w:r>
      <w:r w:rsidRPr="001519D1">
        <w:rPr>
          <w:rFonts w:ascii="Arial" w:hAnsi="Arial" w:cs="Arial"/>
          <w:lang w:val="en-US"/>
        </w:rPr>
        <w:t xml:space="preserve"> transition (also known as hypersensitive transition) shows the most significant modified Eu luminescence by the presence of Mo atoms</w:t>
      </w:r>
      <w:r w:rsidR="007441A1" w:rsidRPr="001519D1">
        <w:rPr>
          <w:rFonts w:ascii="Arial" w:hAnsi="Arial" w:cs="Arial"/>
          <w:lang w:val="en-US"/>
        </w:rPr>
        <w:t xml:space="preserve"> </w:t>
      </w:r>
      <w:r w:rsidR="007441A1"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"10.1016/j.ccr.2015.02.015", "ISBN" : "0010-8545", "ISSN" : "00108545", "abstract" : "The trivalent europium ion (Eu3+) is well known for its strong luminescence in the red spectral region, but this ion is also interesting from a theoretical point of view. Due to the even number of electrons in the 4f shell (4f6 configuration), the crystal-field perturbation by the crystalline host matrix lifts partly or completely the degeneracies of the 2S+1LJ levels. The Eu3+ ion has the great advantage over other lanthanide ions with an even number of 4f electrons that the starting levels of the transitions in both the absorption and the luminescence spectrum are non-degenerate (J=0). Moreover, the interpretation of the spectra is facilitated by the small total angular momentum J of the end levels in the transitions. The number of lines observed for the 5D0???7FJ transitions in the luminescence spectrum or the 5DJ???7F0 transitions in the absorption spectrum allows determining the site symmetry of the Eu3+ ion. This review describes the spectroscopic properties of the trivalent europium ion, with emphasis on the energy level structure, the intensities of the f-f transitions (including the Judd-Ofelt theory), the decay times of the excited states and the use of the Eu3+ ion as a spectroscopic probe for site symmetry determination. It is illustrated how the maximum amount of information can be extracted from optical absorption and luminescence spectra of europium(III) compounds, and how pitfalls in the interpretation of these spectra can be avoided.", "author" : [ { "dropping-particle" : "", "family" : "Binnemans", "given" : "Koen", "non-dropping-particle" : "", "parse-names" : false, "suffix" : "" } ], "container-title" : "Coordination Chemistry Reviews", "id" : "ITEM-1", "issued" : { "date-parts" : [ [ "2015" ] ] }, "page" : "1-45", "publisher" : "Elsevier B.V.", "title" : "Interpretation of europium(III) spectra", "type" : "article-journal", "volume" : "295" }, "uris" : [ "http://www.mendeley.com/documents/?uuid=4551919c-e43f-4085-8294-deb5557d4381" ] } ], "mendeley" : { "formattedCitation" : "[58]", "plainTextFormattedCitation" : "[58]", "previouslyFormattedCitation" : "[58]" }, "properties" : { "noteIndex" : 0 }, "schema" : "https://github.com/citation-style-language/schema/raw/master/csl-citation.json" }</w:instrText>
      </w:r>
      <w:r w:rsidR="007441A1" w:rsidRPr="001519D1">
        <w:rPr>
          <w:rFonts w:ascii="Arial" w:hAnsi="Arial" w:cs="Arial"/>
          <w:lang w:val="en-US"/>
        </w:rPr>
        <w:fldChar w:fldCharType="separate"/>
      </w:r>
      <w:r w:rsidR="00C76F86" w:rsidRPr="001519D1">
        <w:rPr>
          <w:rFonts w:ascii="Arial" w:hAnsi="Arial" w:cs="Arial"/>
          <w:noProof/>
          <w:lang w:val="en-US"/>
        </w:rPr>
        <w:t>[58]</w:t>
      </w:r>
      <w:r w:rsidR="007441A1" w:rsidRPr="001519D1">
        <w:rPr>
          <w:rFonts w:ascii="Arial" w:hAnsi="Arial" w:cs="Arial"/>
          <w:lang w:val="en-US"/>
        </w:rPr>
        <w:fldChar w:fldCharType="end"/>
      </w:r>
      <w:r w:rsidR="007441A1" w:rsidRPr="001519D1">
        <w:rPr>
          <w:rFonts w:ascii="Arial" w:hAnsi="Arial" w:cs="Arial"/>
          <w:lang w:val="en-US"/>
        </w:rPr>
        <w:t>,</w:t>
      </w:r>
      <w:r w:rsidRPr="001519D1">
        <w:rPr>
          <w:rFonts w:ascii="Arial" w:hAnsi="Arial" w:cs="Arial"/>
          <w:lang w:val="en-US"/>
        </w:rPr>
        <w:t xml:space="preserve"> stating again the influence of the Mo atoms in the Eu surrounding. Furthermore, according to several authors</w:t>
      </w:r>
      <w:r w:rsidR="007441A1" w:rsidRPr="001519D1">
        <w:rPr>
          <w:rFonts w:ascii="Arial" w:hAnsi="Arial" w:cs="Arial"/>
          <w:lang w:val="en-US"/>
        </w:rPr>
        <w:t xml:space="preserve"> </w:t>
      </w:r>
      <w:r w:rsidR="007441A1"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"abstract" : "Optical absorption and emission spectra and relaxation of Eu 3+ ions and of Cr ~+ impurities in a Eu(PO3)3 glass are reported. Europium fluorescence occurs from the ~Do state with near-unity quantum efficiency at low emperatures. The Cr a+ fluorescence occurs in the form of a broadband emission in the near-infrared which is attributed to Stokes-shifted 4T2 ~ 4A._, transitions. The Eu :'\u00a7 emission overlaps the Cr a+ absorption bands and both radiative and nonradiative Eu '~\u00a7 --~ Cr a+ energy transfer were observed. To investigate the transfer processes, the Eu 3+ fluorescence decays were measured as a function of temperature and chromium concentration. The results indicate that non- radiative energy transfer involves a combination of energy migration through the Eu ~+ system and transfer to fast-relaxing Cr a\u00a7 ions which act as quenching centers.", "author" : [ { "dropping-particle" : "", "family" : "Weber", "given" : "M.J.", "non-dropping-particle" : "", "parse-names" : false, "suffix" : "" }, { "dropping-particle" : "", "family" : "Sharp", "given" : "E.J.", "non-dropping-particle" : "", "parse-names" : false, "suffix" : "" }, { "dropping-particle" : "", "family" : "Miller", "given" : "J.E.", "non-dropping-particle" : "", "parse-names" : false, "suffix" : "" } ], "container-title" : "Journal of Physics and Chemistry of Solids", "id" : "ITEM-1", "issued" : { "date-parts" : [ [ "1971" ] ] }, "page" : "2275-2284", "title" : "Optical spectra, relaxation, and energy transfer of Eu3+ and Cr3+ in a europium phosphate glass", "type" : "article-journal", "volume" : "32" }, "uris" : [ "http://www.mendeley.com/documents/?uuid=2c90e8bf-792b-4798-b4de-723c0acbd3e9" ] }, { "id" : "ITEM-2", "itemData" : { "DOI" : "10.1039/c2cp41946g", "ISBN" : "1463-9076", "ISSN" : "1463-9076", "PMID" : "22903237", "abstract" : "Pure and europium (Eu(3+)) doped ZrO(2) synthesized by an oil-in-water microemulsion reaction method were investigated by in situ and ex situ X-ray diffraction (XRD), ex situ Raman spectroscopy, high-resolution transmission electron microscopy (HRTEM), steady state and time-resolved photoluminescence (PL) spectroscopies. Based on the Raman spectra excited at three different wavelengths i.e. 488, 514 and 633 nm and measured in the spectral range of 150-4000 cm(-1) the correlation between the phonon spectra of ZrO(2) and luminescence of europium is clearly evidenced. The PL investigations span a variety of steady-state and time resolved measurements recorded either after direct excitation of the Eu(3+) f-f transitions or indirect excitation into UV charge-transfer bands. After annealing at 500 \u00b0C, the overall Eu(3+) emission is dominated by Eu(3+) located in tetragonal symmetry lattice sites with a crystal-field splitting of the (5)D(0)-(7)F(1) emission of 20 cm(-1). Annealing of ZrO(2) at 1000 \u00b0C leads to a superposition of Eu(3+) emissions from tetragonal and monoclinic lattice sites with monoclinic crystal-field splitting of 200 cm(-1) for the (5)D(0)-(7)F(1) transition. At all temperatures, a non-negligible amorphous/disordered content is also measured and determined to be of monoclinic nature. It was found that the evolutions with calcination temperature of the average PL lifetimes corresponding to europium emission in the tetragonal and monoclinic sites and the monoclinic phase content of the Eu(3+) doped ZrO(2) samples follow a similar trend. By use of specific excitation conditions, the distribution of europium on the amorphous/disordered surface or ordered/crystalline sites can be identified and related to the phase content of zirconia. The role of zirconia host as a sensitizer for the europium PL is also discussed in both tetragonal and monoclinic phases.", "author" : [ { "dropping-particle" : "", "family" : "Tiseanu", "given" : "Carmen", "non-dropping-particle" : "", "parse-names" : false, "suffix" : "" }, { "dropping-particle" : "", "family" : "Cojocaru", "given" : "Bogdan", "non-dropping-particle" : "", "parse-names" : false, "suffix" : "" }, { "dropping-particle" : "", "family" : "Parvulescu", "given" : "Vasile I.", "non-dropping-particle" : "", "parse-names" : false, "suffix" : "" }, { "dropping-particle" : "", "family" : "Sanchez-Dominguez", "given" : "Margarita", "non-dropping-particle" : "", "parse-names" : false, "suffix" : "" }, { "dropping-particle" : "", "family" : "Primus", "given" : "Philipp A.", "non-dropping-particle" : "", "parse-names" : false, "suffix" : "" }, { "dropping-particle" : "", "family" : "Boutonnet", "given" : "Magali", "non-dropping-particle" : "", "parse-names" : false, "suffix" : "" } ], "container-title" : "Physical Chemistry Chemical Physics", "id" : "ITEM-2", "issue" : "37", "issued" : { "date-parts" : [ [ "2012" ] ] }, "page" : "12970-12981", "title" : "Order and disorder effects in nano-ZrO2 investigated by micro-Raman and spectrally and temporarily resolved photoluminescence", "type" : "article-journal", "volume" : "14" }, "uris" : [ "http://www.mendeley.com/documents/?uuid=f27214f7-336c-4a34-a06c-a5f913bc8387" ] }, { "id" : "ITEM-3", "itemData" : { "DOI" : "10.1021/la0604883", "ISSN" : "07437463", "PMID" : "16800693", "abstract" : "The sol-emulsion-gel method is used for the preparation of Eu3+ ion-doped and coated ZrO2 nanocrystals. Here, we report the role of surface coating, dopant concentration, and temperature of heating in the modification of their crystal structure and photoluminescence properties. It is found that the volume fraction of the tetragonal phase increases from 28.08 to 91.56% because of surface coating. This is a significant modification of the crystal phase in ZrO2 nanocrystals due to surface coating by Eu2O3. It is found that the photoluminescence properties are sensitive to the crystal structure, which is again controlled by surface coating, concentration, and heating temperature. It is found that the decay time (tau) of Eu-doped ZrO2 nanocrystals increases with increasing the concentration of dopant and with increasing the temperature of heating because of changes in their crystal phase. The emission intensity of the peak at 611-617 nm (5D0 --&gt; 7F2) of the Eu3+ ion-activated ZrO2 nanocrystals (doped and coated) is also found to be sensitive to the nanoenvironment. The average decay times are 770 and 488 mus for 1100 degrees C-heated 1.0 mol % Eu2O3-doped and coated ZrO2 nanocrystals, respectively. Our analysis suggests that the site symmetry of the ions plays the most important role in the modifications of the radiative and nonradiative relaxation mechanisms as a result of the overall photoluminescence properties.", "author" : [ { "dropping-particle" : "", "family" : "Ghosh", "given" : "Pushpal", "non-dropping-particle" : "", "parse-names" : false, "suffix" : "" }, { "dropping-particle" : "", "family" : "Patra", "given" : "Amitava", "non-dropping-particle" : "", "parse-names" : false, "suffix" : "" } ], "container-title" : "Langmuir", "id" : "ITEM-3", "issue" : "14", "issued" : { "date-parts" : [ [ "2006" ] ] }, "page" : "6321-6327", "title" : "Role of Surface Coating in ZrO2/Eu3+ Nanocrystals", "type" : "article-journal", "volume" : "22" }, "uris" : [ "http://www.mendeley.com/documents/?uuid=60b071ce-aca5-440f-8884-fe7459801bcf" ] }, { "id" : "ITEM-4", "itemData" : { "DOI" : "10.1016/j.jallcom.2014.06.155", "ISSN" : "09258388", "abstract" : "Titania\u2013zirconia matrices co-doped with europium ions and CdS/CdSe nanocrystallites were prepared through the sol\u2013gel route. The phonon sideband (PSB) analysis of the excitation spectrum provides infor- mation about the coupling between vibrational modes and electronic transitions. The vibrational state energy and the local site symmetry in the titania\u2013zirconia matrix around Eu3+ ions were investigated in detail. The emission spectrum intensities of electric dipole transitions, with respect to magnetic dipole transition, gives a measure of the distortion from the inversion symmetry around the Eu3+ site. The vibrational state bands along with Raman measurements give information on the structural units in the vicinity of the dopant ion. A correlation between the Raman spectral data and phonon sideband analysis yields an average structure of the bulk glass and a near estimate of the maximum vibrational state energy.", "author" : [ { "dropping-particle" : "", "family" : "Karthika", "given" : "S.", "non-dropping-particle" : "", "parse-names" : false, "suffix" : "" }, { "dropping-particle" : "", "family" : "Sajna", "given" : "M.S.", "non-dropping-particle" : "", "parse-names" : false, "suffix" : "" }, { "dropping-particle" : "", "family" : "Thomas", "given" : "Sunil", "non-dropping-particle" : "", "parse-names" : false, "suffix" : "" }, { "dropping-particle" : "", "family" : "Revathy", "given" : "K.P.", "non-dropping-particle" : "", "parse-names" : false, "suffix" : "" }, { "dropping-particle" : "", "family" : "Biju", "given" : "P.R.", "non-dropping-particle" : "", "parse-names" : false, "suffix" : "" }, { "dropping-particle" : "", "family" : "Unnikrishnan", "given" : "N.V.", "non-dropping-particle" : "", "parse-names" : false, "suffix" : "" } ], "container-title" : "Journal of Alloys and Compounds", "id" : "ITEM-4", "issued" : { "date-parts" : [ [ "2014" ] ] }, "page" : "188-193", "publisher" : "Elsevier B.V.", "title" : "Structural and optical studies of Eu3+/nanocrystallites doped titania\u2013zirconia hybrids", "type" : "article-journal", "volume" : "615" }, "uris" : [ "http://www.mendeley.com/documents/?uuid=3fc28888-13b8-47fc-aded-fa92080a2753" ] } ], "mendeley" : { "formattedCitation" : "[60\u201363]", "plainTextFormattedCitation" : "[60\u201363]", "previouslyFormattedCitation" : "[60\u201363]" }, "properties" : { "noteIndex" : 0 }, "schema" : "https://github.com/citation-style-language/schema/raw/master/csl-citation.json" }</w:instrText>
      </w:r>
      <w:r w:rsidR="007441A1" w:rsidRPr="001519D1">
        <w:rPr>
          <w:rFonts w:ascii="Arial" w:hAnsi="Arial" w:cs="Arial"/>
          <w:lang w:val="en-US"/>
        </w:rPr>
        <w:fldChar w:fldCharType="separate"/>
      </w:r>
      <w:r w:rsidR="00C76F86" w:rsidRPr="001519D1">
        <w:rPr>
          <w:rFonts w:ascii="Arial" w:hAnsi="Arial" w:cs="Arial"/>
          <w:noProof/>
          <w:lang w:val="en-US"/>
        </w:rPr>
        <w:t>[60–63]</w:t>
      </w:r>
      <w:r w:rsidR="007441A1" w:rsidRPr="001519D1">
        <w:rPr>
          <w:rFonts w:ascii="Arial" w:hAnsi="Arial" w:cs="Arial"/>
          <w:lang w:val="en-US"/>
        </w:rPr>
        <w:fldChar w:fldCharType="end"/>
      </w:r>
      <w:r w:rsidR="007441A1" w:rsidRPr="001519D1">
        <w:rPr>
          <w:rFonts w:ascii="Arial" w:hAnsi="Arial" w:cs="Arial"/>
          <w:lang w:val="en-US"/>
        </w:rPr>
        <w:t>,</w:t>
      </w:r>
      <w:r w:rsidRPr="001519D1">
        <w:rPr>
          <w:rFonts w:ascii="Arial" w:hAnsi="Arial" w:cs="Arial"/>
          <w:lang w:val="en-US"/>
        </w:rPr>
        <w:t xml:space="preserve"> the relative high intensity of the </w:t>
      </w:r>
      <w:r w:rsidRPr="001519D1">
        <w:rPr>
          <w:rFonts w:ascii="Arial" w:hAnsi="Arial" w:cs="Arial"/>
          <w:vertAlign w:val="superscript"/>
          <w:lang w:val="en-US"/>
        </w:rPr>
        <w:t>7</w:t>
      </w:r>
      <w:r w:rsidRPr="001519D1">
        <w:rPr>
          <w:rFonts w:ascii="Arial" w:hAnsi="Arial" w:cs="Arial"/>
          <w:lang w:val="en-US"/>
        </w:rPr>
        <w:t>F</w:t>
      </w:r>
      <w:r w:rsidRPr="001519D1">
        <w:rPr>
          <w:rFonts w:ascii="Arial" w:hAnsi="Arial" w:cs="Arial"/>
          <w:vertAlign w:val="subscript"/>
          <w:lang w:val="en-US"/>
        </w:rPr>
        <w:t>2</w:t>
      </w:r>
      <w:r w:rsidRPr="001519D1">
        <w:rPr>
          <w:rFonts w:ascii="Arial" w:hAnsi="Arial" w:cs="Arial"/>
          <w:lang w:val="en-US"/>
        </w:rPr>
        <w:t xml:space="preserve"> → </w:t>
      </w:r>
      <w:r w:rsidRPr="001519D1">
        <w:rPr>
          <w:rFonts w:ascii="Arial" w:hAnsi="Arial" w:cs="Arial"/>
          <w:vertAlign w:val="superscript"/>
          <w:lang w:val="en-US"/>
        </w:rPr>
        <w:t>5</w:t>
      </w:r>
      <w:r w:rsidRPr="001519D1">
        <w:rPr>
          <w:rFonts w:ascii="Arial" w:hAnsi="Arial" w:cs="Arial"/>
          <w:lang w:val="en-US"/>
        </w:rPr>
        <w:t>D</w:t>
      </w:r>
      <w:r w:rsidRPr="001519D1">
        <w:rPr>
          <w:rFonts w:ascii="Arial" w:hAnsi="Arial" w:cs="Arial"/>
          <w:vertAlign w:val="subscript"/>
          <w:lang w:val="en-US"/>
        </w:rPr>
        <w:t>0</w:t>
      </w:r>
      <w:r w:rsidRPr="001519D1">
        <w:rPr>
          <w:rFonts w:ascii="Arial" w:hAnsi="Arial" w:cs="Arial"/>
          <w:lang w:val="en-US"/>
        </w:rPr>
        <w:t xml:space="preserve"> transition with respect to the </w:t>
      </w:r>
      <w:r w:rsidRPr="001519D1">
        <w:rPr>
          <w:rFonts w:ascii="Arial" w:hAnsi="Arial" w:cs="Arial"/>
          <w:vertAlign w:val="superscript"/>
          <w:lang w:val="en-US"/>
        </w:rPr>
        <w:t>7</w:t>
      </w:r>
      <w:r w:rsidRPr="001519D1">
        <w:rPr>
          <w:rFonts w:ascii="Arial" w:hAnsi="Arial" w:cs="Arial"/>
          <w:lang w:val="en-US"/>
        </w:rPr>
        <w:t>F</w:t>
      </w:r>
      <w:r w:rsidRPr="001519D1">
        <w:rPr>
          <w:rFonts w:ascii="Arial" w:hAnsi="Arial" w:cs="Arial"/>
          <w:vertAlign w:val="subscript"/>
          <w:lang w:val="en-US"/>
        </w:rPr>
        <w:t>1</w:t>
      </w:r>
      <w:r w:rsidRPr="001519D1">
        <w:rPr>
          <w:rFonts w:ascii="Arial" w:hAnsi="Arial" w:cs="Arial"/>
          <w:lang w:val="en-US"/>
        </w:rPr>
        <w:t xml:space="preserve"> → </w:t>
      </w:r>
      <w:r w:rsidRPr="001519D1">
        <w:rPr>
          <w:rFonts w:ascii="Arial" w:hAnsi="Arial" w:cs="Arial"/>
          <w:vertAlign w:val="superscript"/>
          <w:lang w:val="en-US"/>
        </w:rPr>
        <w:t>5</w:t>
      </w:r>
      <w:r w:rsidRPr="001519D1">
        <w:rPr>
          <w:rFonts w:ascii="Arial" w:hAnsi="Arial" w:cs="Arial"/>
          <w:lang w:val="en-US"/>
        </w:rPr>
        <w:t>D</w:t>
      </w:r>
      <w:r w:rsidRPr="001519D1">
        <w:rPr>
          <w:rFonts w:ascii="Arial" w:hAnsi="Arial" w:cs="Arial"/>
          <w:vertAlign w:val="subscript"/>
          <w:lang w:val="en-US"/>
        </w:rPr>
        <w:t>0</w:t>
      </w:r>
      <w:r w:rsidRPr="001519D1">
        <w:rPr>
          <w:rFonts w:ascii="Arial" w:hAnsi="Arial" w:cs="Arial"/>
          <w:lang w:val="en-US"/>
        </w:rPr>
        <w:t xml:space="preserve"> transition is expected. The intensity ratio (</w:t>
      </w:r>
      <w:r w:rsidRPr="001519D1">
        <w:rPr>
          <w:rFonts w:ascii="Arial" w:hAnsi="Arial" w:cs="Arial"/>
          <w:vertAlign w:val="superscript"/>
          <w:lang w:val="en-US"/>
        </w:rPr>
        <w:t>7</w:t>
      </w:r>
      <w:r w:rsidRPr="001519D1">
        <w:rPr>
          <w:rFonts w:ascii="Arial" w:hAnsi="Arial" w:cs="Arial"/>
          <w:lang w:val="en-US"/>
        </w:rPr>
        <w:t>F</w:t>
      </w:r>
      <w:r w:rsidRPr="001519D1">
        <w:rPr>
          <w:rFonts w:ascii="Arial" w:hAnsi="Arial" w:cs="Arial"/>
          <w:vertAlign w:val="subscript"/>
          <w:lang w:val="en-US"/>
        </w:rPr>
        <w:t>2</w:t>
      </w:r>
      <w:r w:rsidRPr="001519D1">
        <w:rPr>
          <w:rFonts w:ascii="Arial" w:hAnsi="Arial" w:cs="Arial"/>
          <w:lang w:val="en-US"/>
        </w:rPr>
        <w:t xml:space="preserve"> → </w:t>
      </w:r>
      <w:r w:rsidRPr="001519D1">
        <w:rPr>
          <w:rFonts w:ascii="Arial" w:hAnsi="Arial" w:cs="Arial"/>
          <w:vertAlign w:val="superscript"/>
          <w:lang w:val="en-US"/>
        </w:rPr>
        <w:t>5</w:t>
      </w:r>
      <w:r w:rsidRPr="001519D1">
        <w:rPr>
          <w:rFonts w:ascii="Arial" w:hAnsi="Arial" w:cs="Arial"/>
          <w:lang w:val="en-US"/>
        </w:rPr>
        <w:t>D</w:t>
      </w:r>
      <w:r w:rsidRPr="001519D1">
        <w:rPr>
          <w:rFonts w:ascii="Arial" w:hAnsi="Arial" w:cs="Arial"/>
          <w:vertAlign w:val="subscript"/>
          <w:lang w:val="en-US"/>
        </w:rPr>
        <w:t>0</w:t>
      </w:r>
      <w:r w:rsidRPr="001519D1">
        <w:rPr>
          <w:rFonts w:ascii="Arial" w:hAnsi="Arial" w:cs="Arial"/>
          <w:lang w:val="en-US"/>
        </w:rPr>
        <w:t>)/(</w:t>
      </w:r>
      <w:r w:rsidRPr="001519D1">
        <w:rPr>
          <w:rFonts w:ascii="Arial" w:hAnsi="Arial" w:cs="Arial"/>
          <w:vertAlign w:val="superscript"/>
          <w:lang w:val="en-US"/>
        </w:rPr>
        <w:t>7</w:t>
      </w:r>
      <w:r w:rsidRPr="001519D1">
        <w:rPr>
          <w:rFonts w:ascii="Arial" w:hAnsi="Arial" w:cs="Arial"/>
          <w:lang w:val="en-US"/>
        </w:rPr>
        <w:t>F</w:t>
      </w:r>
      <w:r w:rsidRPr="001519D1">
        <w:rPr>
          <w:rFonts w:ascii="Arial" w:hAnsi="Arial" w:cs="Arial"/>
          <w:vertAlign w:val="subscript"/>
          <w:lang w:val="en-US"/>
        </w:rPr>
        <w:t>1</w:t>
      </w:r>
      <w:r w:rsidRPr="001519D1">
        <w:rPr>
          <w:rFonts w:ascii="Arial" w:hAnsi="Arial" w:cs="Arial"/>
          <w:lang w:val="en-US"/>
        </w:rPr>
        <w:t xml:space="preserve"> → </w:t>
      </w:r>
      <w:r w:rsidRPr="001519D1">
        <w:rPr>
          <w:rFonts w:ascii="Arial" w:hAnsi="Arial" w:cs="Arial"/>
          <w:vertAlign w:val="superscript"/>
          <w:lang w:val="en-US"/>
        </w:rPr>
        <w:t>5</w:t>
      </w:r>
      <w:r w:rsidRPr="001519D1">
        <w:rPr>
          <w:rFonts w:ascii="Arial" w:hAnsi="Arial" w:cs="Arial"/>
          <w:lang w:val="en-US"/>
        </w:rPr>
        <w:t>D</w:t>
      </w:r>
      <w:r w:rsidRPr="001519D1">
        <w:rPr>
          <w:rFonts w:ascii="Arial" w:hAnsi="Arial" w:cs="Arial"/>
          <w:vertAlign w:val="subscript"/>
          <w:lang w:val="en-US"/>
        </w:rPr>
        <w:t>0</w:t>
      </w:r>
      <w:r w:rsidRPr="001519D1">
        <w:rPr>
          <w:rFonts w:ascii="Arial" w:hAnsi="Arial" w:cs="Arial"/>
          <w:lang w:val="en-US"/>
        </w:rPr>
        <w:t>) relates to the symmetry of the Eu coordination environment, so that the higher the ratio, the lower the site symmetry. Thus, in these samples the increment of the Mo content increases the intensity of the (</w:t>
      </w:r>
      <w:r w:rsidRPr="001519D1">
        <w:rPr>
          <w:rFonts w:ascii="Arial" w:hAnsi="Arial" w:cs="Arial"/>
          <w:vertAlign w:val="superscript"/>
          <w:lang w:val="en-US"/>
        </w:rPr>
        <w:t>7</w:t>
      </w:r>
      <w:r w:rsidRPr="001519D1">
        <w:rPr>
          <w:rFonts w:ascii="Arial" w:hAnsi="Arial" w:cs="Arial"/>
          <w:lang w:val="en-US"/>
        </w:rPr>
        <w:t>F</w:t>
      </w:r>
      <w:r w:rsidRPr="001519D1">
        <w:rPr>
          <w:rFonts w:ascii="Arial" w:hAnsi="Arial" w:cs="Arial"/>
          <w:vertAlign w:val="subscript"/>
          <w:lang w:val="en-US"/>
        </w:rPr>
        <w:t>2</w:t>
      </w:r>
      <w:r w:rsidRPr="001519D1">
        <w:rPr>
          <w:rFonts w:ascii="Arial" w:hAnsi="Arial" w:cs="Arial"/>
          <w:lang w:val="en-US"/>
        </w:rPr>
        <w:t xml:space="preserve"> → </w:t>
      </w:r>
      <w:r w:rsidRPr="001519D1">
        <w:rPr>
          <w:rFonts w:ascii="Arial" w:hAnsi="Arial" w:cs="Arial"/>
          <w:vertAlign w:val="superscript"/>
          <w:lang w:val="en-US"/>
        </w:rPr>
        <w:t>5</w:t>
      </w:r>
      <w:r w:rsidRPr="001519D1">
        <w:rPr>
          <w:rFonts w:ascii="Arial" w:hAnsi="Arial" w:cs="Arial"/>
          <w:lang w:val="en-US"/>
        </w:rPr>
        <w:t>D</w:t>
      </w:r>
      <w:r w:rsidRPr="001519D1">
        <w:rPr>
          <w:rFonts w:ascii="Arial" w:hAnsi="Arial" w:cs="Arial"/>
          <w:vertAlign w:val="subscript"/>
          <w:lang w:val="en-US"/>
        </w:rPr>
        <w:t>0</w:t>
      </w:r>
      <w:r w:rsidRPr="001519D1">
        <w:rPr>
          <w:rFonts w:ascii="Arial" w:hAnsi="Arial" w:cs="Arial"/>
          <w:lang w:val="en-US"/>
        </w:rPr>
        <w:t>)/(</w:t>
      </w:r>
      <w:r w:rsidRPr="001519D1">
        <w:rPr>
          <w:rFonts w:ascii="Arial" w:hAnsi="Arial" w:cs="Arial"/>
          <w:vertAlign w:val="superscript"/>
          <w:lang w:val="en-US"/>
        </w:rPr>
        <w:t>7</w:t>
      </w:r>
      <w:r w:rsidRPr="001519D1">
        <w:rPr>
          <w:rFonts w:ascii="Arial" w:hAnsi="Arial" w:cs="Arial"/>
          <w:lang w:val="en-US"/>
        </w:rPr>
        <w:t>F</w:t>
      </w:r>
      <w:r w:rsidRPr="001519D1">
        <w:rPr>
          <w:rFonts w:ascii="Arial" w:hAnsi="Arial" w:cs="Arial"/>
          <w:vertAlign w:val="subscript"/>
          <w:lang w:val="en-US"/>
        </w:rPr>
        <w:t>1</w:t>
      </w:r>
      <w:r w:rsidRPr="001519D1">
        <w:rPr>
          <w:rFonts w:ascii="Arial" w:hAnsi="Arial" w:cs="Arial"/>
          <w:lang w:val="en-US"/>
        </w:rPr>
        <w:t xml:space="preserve"> → </w:t>
      </w:r>
      <w:r w:rsidRPr="001519D1">
        <w:rPr>
          <w:rFonts w:ascii="Arial" w:hAnsi="Arial" w:cs="Arial"/>
          <w:vertAlign w:val="superscript"/>
          <w:lang w:val="en-US"/>
        </w:rPr>
        <w:t>5</w:t>
      </w:r>
      <w:r w:rsidRPr="001519D1">
        <w:rPr>
          <w:rFonts w:ascii="Arial" w:hAnsi="Arial" w:cs="Arial"/>
          <w:lang w:val="en-US"/>
        </w:rPr>
        <w:t>D</w:t>
      </w:r>
      <w:r w:rsidRPr="001519D1">
        <w:rPr>
          <w:rFonts w:ascii="Arial" w:hAnsi="Arial" w:cs="Arial"/>
          <w:vertAlign w:val="subscript"/>
          <w:lang w:val="en-US"/>
        </w:rPr>
        <w:t>0</w:t>
      </w:r>
      <w:r w:rsidRPr="001519D1">
        <w:rPr>
          <w:rFonts w:ascii="Arial" w:hAnsi="Arial" w:cs="Arial"/>
          <w:lang w:val="en-US"/>
        </w:rPr>
        <w:t>) ratio from 1.54 for ZrEu sample to 2.56, 3.24 and 5.90 for ZrEuMo_5, ZrEuMo_7 and ZrEuMo_10 sample respectively, meaning a decrease of the Eu symmetry. Therefore, the changes in intensity and the shifts exhibited in Eu luminescence of ZrEuMo_x samples again evidence the intimate contact between the Mo and Eu atoms, supporting thereby the conclusions obtained by XPS analysis where Mo is preferentially positioned over Eu atoms in the proton conductor.</w:t>
      </w:r>
    </w:p>
    <w:p w14:paraId="7C1BA9B7" w14:textId="77777777" w:rsidR="00785190" w:rsidRPr="001519D1" w:rsidRDefault="00B92893" w:rsidP="00785190">
      <w:pPr>
        <w:keepNext/>
        <w:spacing w:after="0" w:line="360" w:lineRule="auto"/>
      </w:pPr>
      <w:r w:rsidRPr="001519D1">
        <w:rPr>
          <w:rFonts w:ascii="Arial" w:hAnsi="Arial" w:cs="Arial"/>
          <w:noProof/>
          <w:lang w:val="es-ES" w:eastAsia="es-ES"/>
        </w:rPr>
        <w:lastRenderedPageBreak/>
        <w:drawing>
          <wp:inline distT="0" distB="0" distL="0" distR="0" wp14:anchorId="2A2FB06C" wp14:editId="028FDD94">
            <wp:extent cx="3492454"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4581" cy="2561564"/>
                    </a:xfrm>
                    <a:prstGeom prst="rect">
                      <a:avLst/>
                    </a:prstGeom>
                    <a:noFill/>
                  </pic:spPr>
                </pic:pic>
              </a:graphicData>
            </a:graphic>
          </wp:inline>
        </w:drawing>
      </w:r>
    </w:p>
    <w:p w14:paraId="2110D1F7" w14:textId="42EA2CC9" w:rsidR="00B92893" w:rsidRPr="001519D1" w:rsidRDefault="00785190" w:rsidP="00785190">
      <w:pPr>
        <w:pStyle w:val="Descripcin"/>
        <w:rPr>
          <w:rFonts w:ascii="Arial" w:hAnsi="Arial" w:cs="Arial"/>
          <w:i w:val="0"/>
          <w:iCs w:val="0"/>
          <w:color w:val="auto"/>
          <w:sz w:val="22"/>
          <w:szCs w:val="22"/>
          <w:lang w:val="en-US"/>
        </w:rPr>
      </w:pPr>
      <w:r w:rsidRPr="001519D1">
        <w:rPr>
          <w:rFonts w:ascii="Arial" w:hAnsi="Arial" w:cs="Arial"/>
          <w:i w:val="0"/>
          <w:iCs w:val="0"/>
          <w:color w:val="auto"/>
          <w:sz w:val="22"/>
          <w:szCs w:val="22"/>
          <w:lang w:val="en-US"/>
        </w:rPr>
        <w:t xml:space="preserve">Figure </w:t>
      </w:r>
      <w:r w:rsidRPr="001519D1">
        <w:rPr>
          <w:rFonts w:ascii="Arial" w:hAnsi="Arial" w:cs="Arial"/>
          <w:i w:val="0"/>
          <w:iCs w:val="0"/>
          <w:color w:val="auto"/>
          <w:sz w:val="22"/>
          <w:szCs w:val="22"/>
        </w:rPr>
        <w:fldChar w:fldCharType="begin"/>
      </w:r>
      <w:r w:rsidRPr="001519D1">
        <w:rPr>
          <w:rFonts w:ascii="Arial" w:hAnsi="Arial" w:cs="Arial"/>
          <w:i w:val="0"/>
          <w:iCs w:val="0"/>
          <w:color w:val="auto"/>
          <w:sz w:val="22"/>
          <w:szCs w:val="22"/>
          <w:lang w:val="en-US"/>
        </w:rPr>
        <w:instrText xml:space="preserve"> SEQ Figure \* ARABIC </w:instrText>
      </w:r>
      <w:r w:rsidRPr="001519D1">
        <w:rPr>
          <w:rFonts w:ascii="Arial" w:hAnsi="Arial" w:cs="Arial"/>
          <w:i w:val="0"/>
          <w:iCs w:val="0"/>
          <w:color w:val="auto"/>
          <w:sz w:val="22"/>
          <w:szCs w:val="22"/>
        </w:rPr>
        <w:fldChar w:fldCharType="separate"/>
      </w:r>
      <w:r w:rsidR="00AB59A7" w:rsidRPr="001519D1">
        <w:rPr>
          <w:rFonts w:ascii="Arial" w:hAnsi="Arial" w:cs="Arial"/>
          <w:i w:val="0"/>
          <w:iCs w:val="0"/>
          <w:noProof/>
          <w:color w:val="auto"/>
          <w:sz w:val="22"/>
          <w:szCs w:val="22"/>
          <w:lang w:val="en-US"/>
        </w:rPr>
        <w:t>7</w:t>
      </w:r>
      <w:r w:rsidRPr="001519D1">
        <w:rPr>
          <w:rFonts w:ascii="Arial" w:hAnsi="Arial" w:cs="Arial"/>
          <w:i w:val="0"/>
          <w:iCs w:val="0"/>
          <w:color w:val="auto"/>
          <w:sz w:val="22"/>
          <w:szCs w:val="22"/>
        </w:rPr>
        <w:fldChar w:fldCharType="end"/>
      </w:r>
      <w:r w:rsidRPr="001519D1">
        <w:rPr>
          <w:rFonts w:ascii="Arial" w:hAnsi="Arial" w:cs="Arial"/>
          <w:i w:val="0"/>
          <w:iCs w:val="0"/>
          <w:color w:val="auto"/>
          <w:sz w:val="22"/>
          <w:szCs w:val="22"/>
          <w:lang w:val="en-US"/>
        </w:rPr>
        <w:t>.</w:t>
      </w:r>
      <w:r w:rsidRPr="001519D1">
        <w:rPr>
          <w:rFonts w:ascii="Arial" w:hAnsi="Arial" w:cs="Arial"/>
          <w:i w:val="0"/>
          <w:iCs w:val="0"/>
          <w:noProof/>
          <w:color w:val="auto"/>
          <w:sz w:val="22"/>
          <w:szCs w:val="22"/>
          <w:lang w:val="en-US"/>
        </w:rPr>
        <w:t xml:space="preserve"> Normalized Raman spectra using a green excitation laser (532.14 nm) at RT of ZrEuMo_x samples compared with the bare ZrEu sample.</w:t>
      </w:r>
    </w:p>
    <w:p w14:paraId="1D53C314" w14:textId="77777777" w:rsidR="00B92893" w:rsidRPr="001519D1" w:rsidRDefault="00B92893" w:rsidP="00B92893">
      <w:pPr>
        <w:spacing w:after="0" w:line="360" w:lineRule="auto"/>
        <w:rPr>
          <w:rFonts w:ascii="Arial" w:hAnsi="Arial" w:cs="Arial"/>
          <w:lang w:val="en-US"/>
        </w:rPr>
      </w:pPr>
    </w:p>
    <w:p w14:paraId="316FA1A5" w14:textId="00C367F2" w:rsidR="00B92893" w:rsidRPr="001519D1" w:rsidRDefault="00B92893" w:rsidP="00B92893">
      <w:pPr>
        <w:spacing w:after="0" w:line="360" w:lineRule="auto"/>
        <w:rPr>
          <w:rFonts w:ascii="Arial" w:hAnsi="Arial" w:cs="Arial"/>
          <w:lang w:val="en-US"/>
        </w:rPr>
      </w:pPr>
      <w:r w:rsidRPr="001519D1">
        <w:rPr>
          <w:rFonts w:ascii="Arial" w:hAnsi="Arial" w:cs="Arial"/>
          <w:lang w:val="en-US"/>
        </w:rPr>
        <w:t>To avoid luminescence as much as possible and get a further insight into the Mo-containing phase structure, Raman analysis were carried out again but with an excitation laser of 785 nm (red light) in the same ambient conditions. The use of this excitation wavelength allows to eliminate Eu luminescence in the 700-1000 cm</w:t>
      </w:r>
      <w:r w:rsidRPr="001519D1">
        <w:rPr>
          <w:rFonts w:ascii="Arial" w:hAnsi="Arial" w:cs="Arial"/>
          <w:vertAlign w:val="superscript"/>
          <w:lang w:val="en-US"/>
        </w:rPr>
        <w:t>-1</w:t>
      </w:r>
      <w:r w:rsidRPr="001519D1">
        <w:rPr>
          <w:rFonts w:ascii="Arial" w:hAnsi="Arial" w:cs="Arial"/>
          <w:lang w:val="en-US"/>
        </w:rPr>
        <w:t xml:space="preserve"> Raman shift range (Figure 8). This approach succeeds and Raman bands, distinguishable from these of the bare ZrEu sample, associated to Mo-containing phases appear. A broad complex band between 700 and 1000 cm</w:t>
      </w:r>
      <w:r w:rsidRPr="001519D1">
        <w:rPr>
          <w:rFonts w:ascii="Arial" w:hAnsi="Arial" w:cs="Arial"/>
          <w:vertAlign w:val="superscript"/>
          <w:lang w:val="en-US"/>
        </w:rPr>
        <w:t>-1</w:t>
      </w:r>
      <w:r w:rsidRPr="001519D1">
        <w:rPr>
          <w:rFonts w:ascii="Arial" w:hAnsi="Arial" w:cs="Arial"/>
          <w:lang w:val="en-US"/>
        </w:rPr>
        <w:t xml:space="preserve"> Raman shift develops on adding Mo to the ZrEu sample. This band shows clear maxima at </w:t>
      </w:r>
      <w:r w:rsidRPr="001519D1">
        <w:rPr>
          <w:rFonts w:ascii="Arial" w:hAnsi="Arial" w:cs="Arial"/>
          <w:i/>
          <w:iCs/>
          <w:lang w:val="en-US"/>
        </w:rPr>
        <w:t>ca.</w:t>
      </w:r>
      <w:r w:rsidRPr="001519D1">
        <w:rPr>
          <w:rFonts w:ascii="Arial" w:hAnsi="Arial" w:cs="Arial"/>
          <w:lang w:val="en-US"/>
        </w:rPr>
        <w:t xml:space="preserve"> 830, 890, 960 and 990 cm</w:t>
      </w:r>
      <w:r w:rsidRPr="001519D1">
        <w:rPr>
          <w:rFonts w:ascii="Arial" w:hAnsi="Arial" w:cs="Arial"/>
          <w:vertAlign w:val="superscript"/>
          <w:lang w:val="en-US"/>
        </w:rPr>
        <w:t>-1</w:t>
      </w:r>
      <w:r w:rsidRPr="001519D1">
        <w:rPr>
          <w:rFonts w:ascii="Arial" w:hAnsi="Arial" w:cs="Arial"/>
          <w:lang w:val="en-US"/>
        </w:rPr>
        <w:t xml:space="preserve">. The intensity of all of these bands increases on increasing coverage but the one at </w:t>
      </w:r>
      <w:r w:rsidRPr="001519D1">
        <w:rPr>
          <w:rFonts w:ascii="Arial" w:hAnsi="Arial" w:cs="Arial"/>
          <w:i/>
          <w:iCs/>
          <w:lang w:val="en-US"/>
        </w:rPr>
        <w:t>ca</w:t>
      </w:r>
      <w:r w:rsidRPr="001519D1">
        <w:rPr>
          <w:rFonts w:ascii="Arial" w:hAnsi="Arial" w:cs="Arial"/>
          <w:lang w:val="en-US"/>
        </w:rPr>
        <w:t>. 990 cm</w:t>
      </w:r>
      <w:r w:rsidRPr="001519D1">
        <w:rPr>
          <w:rFonts w:ascii="Arial" w:hAnsi="Arial" w:cs="Arial"/>
          <w:vertAlign w:val="superscript"/>
          <w:lang w:val="en-US"/>
        </w:rPr>
        <w:t>-1</w:t>
      </w:r>
      <w:r w:rsidRPr="001519D1">
        <w:rPr>
          <w:rFonts w:ascii="Arial" w:hAnsi="Arial" w:cs="Arial"/>
          <w:lang w:val="en-US"/>
        </w:rPr>
        <w:t>. Collection of overlapping bands may be associated to stretching modes of both MoO</w:t>
      </w:r>
      <w:r w:rsidRPr="001519D1">
        <w:rPr>
          <w:rFonts w:ascii="Arial" w:hAnsi="Arial" w:cs="Arial"/>
          <w:vertAlign w:val="subscript"/>
          <w:lang w:val="en-US"/>
        </w:rPr>
        <w:t>3</w:t>
      </w:r>
      <w:r w:rsidRPr="001519D1">
        <w:rPr>
          <w:rFonts w:ascii="Arial" w:hAnsi="Arial" w:cs="Arial"/>
          <w:lang w:val="en-US"/>
        </w:rPr>
        <w:t xml:space="preserve"> islands and molybdate clusters. Terminal Mo=O bonds of isolated tetrahedral species appear at 924 cm</w:t>
      </w:r>
      <w:r w:rsidRPr="001519D1">
        <w:rPr>
          <w:rFonts w:ascii="Arial" w:hAnsi="Arial" w:cs="Arial"/>
          <w:vertAlign w:val="superscript"/>
          <w:lang w:val="en-US"/>
        </w:rPr>
        <w:t>-1</w:t>
      </w:r>
      <w:r w:rsidRPr="001519D1">
        <w:rPr>
          <w:rFonts w:ascii="Arial" w:hAnsi="Arial" w:cs="Arial"/>
          <w:lang w:val="en-US"/>
        </w:rPr>
        <w:t xml:space="preserve"> according to Hu </w:t>
      </w:r>
      <w:r w:rsidRPr="001519D1">
        <w:rPr>
          <w:rFonts w:ascii="Arial" w:hAnsi="Arial" w:cs="Arial"/>
          <w:i/>
          <w:iCs/>
          <w:lang w:val="en-US"/>
        </w:rPr>
        <w:t>et al</w:t>
      </w:r>
      <w:r w:rsidRPr="001519D1">
        <w:rPr>
          <w:rFonts w:ascii="Arial" w:hAnsi="Arial" w:cs="Arial"/>
          <w:lang w:val="en-US"/>
        </w:rPr>
        <w:t>.</w:t>
      </w:r>
      <w:r w:rsidR="006D48A6" w:rsidRPr="001519D1">
        <w:rPr>
          <w:rFonts w:ascii="Arial" w:hAnsi="Arial" w:cs="Arial"/>
          <w:lang w:val="en-US"/>
        </w:rPr>
        <w:t xml:space="preserve"> </w:t>
      </w:r>
      <w:r w:rsidR="006D48A6"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"10.1021/j100027a034", "ISBN" : "0022-3654", "ISSN" : "0022-3654", "abstract" : "Supported molybdenum oxide catalysts on Ti02, A1203,Zr02, Si02, and Nb20~ were prepared by the incipient- wetness impregnation method employing aqueous solutions of ammonium heptamolybdate ((w)6- M07024-4H20). The molecular structures of the surface molybdenum oxide species were investigated by Raman spectroscopy, and their local site symmetries were determined by X-ray absorption near-edge spectroscopy (XANES) at the Mo L3-edge. Under ambient conditions, the structures of the hydrated surface molybdenum oxide species are controlled by the net surface pH at the point of zero charge (PZC) and are the same as observed in aqueous solutions: M004~-, M070&amp;, and MosOza4-. Under dehydrated conditions, the structures of the surface molybdenum oxide species depend on both the specific oxide support and surface coverage. At low surface coverages of MOO3 on A1203 and TiO2, the primary species is isolated and tetrahedral coordinated. At high surface coverages of Moos, for Ti02 the primary species is polymerized and octahedral coordinated, but for A1203 there is a mixture of tetrahedral and octahedral coordinated species. The Moos/ ZrO2 system appears to be similar to the MoO3/A1203 system, and the Mo03/Nb205 system appears to be similar to the Mo03/TiO2 system. The surface molybdenum oxide species on Si02 is isolated and appears to possess a coordination that is in between tetrahedral and octahedral. Monolayer coverage was achieved at the same surface density of molybdenum oxide on the different oxide supports with the exception of SiO2. Only low loadings of molybdenum oxide can be dispersed on Si02 due to the low concentration and reactivity of the surface OH groups.", "author" : [ { "dropping-particle" : "", "family" : "Hu", "given" : "Hangchun", "non-dropping-particle" : "", "parse-names" : false, "suffix" : "" }, { "dropping-particle" : "", "family" : "Wachs", "given" : "Israel E.", "non-dropping-particle" : "", "parse-names" : false, "suffix" : "" }, { "dropping-particle" : "", "family" : "Bare", "given" : "Simon R.", "non-dropping-particle" : "", "parse-names" : false, "suffix" : "" } ], "container-title" : "The Journal of Physical Chemistry", "id" : "ITEM-1", "issue" : "27", "issued" : { "date-parts" : [ [ "1995" ] ] }, "page" : "10897-10910", "title" : "Surface Structures of Supported Molybdenum Oxide Catalysts: Characterization by Raman and Mo L3-Edge XANES", "type" : "article-journal", "volume" : "99" }, "uris" : [ "http://www.mendeley.com/documents/?uuid=5bb4436a-e94f-4476-b862-f8069c5d1bb7" ] } ], "mendeley" : { "formattedCitation" : "[52]", "plainTextFormattedCitation" : "[52]", "previouslyFormattedCitation" : "[52]" }, "properties" : { "noteIndex" : 0 }, "schema" : "https://github.com/citation-style-language/schema/raw/master/csl-citation.json" }</w:instrText>
      </w:r>
      <w:r w:rsidR="006D48A6" w:rsidRPr="001519D1">
        <w:rPr>
          <w:rFonts w:ascii="Arial" w:hAnsi="Arial" w:cs="Arial"/>
          <w:lang w:val="en-US"/>
        </w:rPr>
        <w:fldChar w:fldCharType="separate"/>
      </w:r>
      <w:r w:rsidR="00C76F86" w:rsidRPr="001519D1">
        <w:rPr>
          <w:rFonts w:ascii="Arial" w:hAnsi="Arial" w:cs="Arial"/>
          <w:noProof/>
          <w:lang w:val="en-US"/>
        </w:rPr>
        <w:t>[52]</w:t>
      </w:r>
      <w:r w:rsidR="006D48A6" w:rsidRPr="001519D1">
        <w:rPr>
          <w:rFonts w:ascii="Arial" w:hAnsi="Arial" w:cs="Arial"/>
          <w:lang w:val="en-US"/>
        </w:rPr>
        <w:fldChar w:fldCharType="end"/>
      </w:r>
      <w:r w:rsidR="006D48A6" w:rsidRPr="001519D1">
        <w:rPr>
          <w:rFonts w:ascii="Arial" w:hAnsi="Arial" w:cs="Arial"/>
          <w:lang w:val="en-US"/>
        </w:rPr>
        <w:t>.</w:t>
      </w:r>
      <w:r w:rsidRPr="001519D1">
        <w:rPr>
          <w:rFonts w:ascii="Arial" w:hAnsi="Arial" w:cs="Arial"/>
          <w:lang w:val="en-US"/>
        </w:rPr>
        <w:t xml:space="preserve"> These authors indicate that this band shift to 952 cm</w:t>
      </w:r>
      <w:r w:rsidRPr="001519D1">
        <w:rPr>
          <w:rFonts w:ascii="Arial" w:hAnsi="Arial" w:cs="Arial"/>
          <w:vertAlign w:val="superscript"/>
          <w:lang w:val="en-US"/>
        </w:rPr>
        <w:t>-1</w:t>
      </w:r>
      <w:r w:rsidRPr="001519D1">
        <w:rPr>
          <w:rFonts w:ascii="Arial" w:hAnsi="Arial" w:cs="Arial"/>
          <w:lang w:val="en-US"/>
        </w:rPr>
        <w:t xml:space="preserve"> on increasing Mo coverage on MoO</w:t>
      </w:r>
      <w:r w:rsidRPr="001519D1">
        <w:rPr>
          <w:rFonts w:ascii="Arial" w:hAnsi="Arial" w:cs="Arial"/>
          <w:vertAlign w:val="subscript"/>
          <w:lang w:val="en-US"/>
        </w:rPr>
        <w:t>3</w:t>
      </w:r>
      <w:r w:rsidRPr="001519D1">
        <w:rPr>
          <w:rFonts w:ascii="Arial" w:hAnsi="Arial" w:cs="Arial"/>
          <w:lang w:val="en-US"/>
        </w:rPr>
        <w:t>/ZrO</w:t>
      </w:r>
      <w:r w:rsidRPr="001519D1">
        <w:rPr>
          <w:rFonts w:ascii="Arial" w:hAnsi="Arial" w:cs="Arial"/>
          <w:vertAlign w:val="subscript"/>
          <w:lang w:val="en-US"/>
        </w:rPr>
        <w:t>2</w:t>
      </w:r>
      <w:r w:rsidRPr="001519D1">
        <w:rPr>
          <w:rFonts w:ascii="Arial" w:hAnsi="Arial" w:cs="Arial"/>
          <w:lang w:val="en-US"/>
        </w:rPr>
        <w:t xml:space="preserve"> indicating the formation of clusters containing octahedral Mo species (hydrated octahedral [Mo</w:t>
      </w:r>
      <w:r w:rsidRPr="001519D1">
        <w:rPr>
          <w:rFonts w:ascii="Arial" w:hAnsi="Arial" w:cs="Arial"/>
          <w:vertAlign w:val="subscript"/>
          <w:lang w:val="en-US"/>
        </w:rPr>
        <w:t>7</w:t>
      </w:r>
      <w:r w:rsidRPr="001519D1">
        <w:rPr>
          <w:rFonts w:ascii="Arial" w:hAnsi="Arial" w:cs="Arial"/>
          <w:lang w:val="en-US"/>
        </w:rPr>
        <w:t>O</w:t>
      </w:r>
      <w:r w:rsidRPr="001519D1">
        <w:rPr>
          <w:rFonts w:ascii="Arial" w:hAnsi="Arial" w:cs="Arial"/>
          <w:vertAlign w:val="subscript"/>
          <w:lang w:val="en-US"/>
        </w:rPr>
        <w:t>24</w:t>
      </w:r>
      <w:r w:rsidRPr="001519D1">
        <w:rPr>
          <w:rFonts w:ascii="Arial" w:hAnsi="Arial" w:cs="Arial"/>
          <w:lang w:val="en-US"/>
        </w:rPr>
        <w:t>]</w:t>
      </w:r>
      <w:r w:rsidRPr="001519D1">
        <w:rPr>
          <w:rFonts w:ascii="Arial" w:hAnsi="Arial" w:cs="Arial"/>
          <w:vertAlign w:val="superscript"/>
          <w:lang w:val="en-US"/>
        </w:rPr>
        <w:t>6-</w:t>
      </w:r>
      <w:r w:rsidRPr="001519D1">
        <w:rPr>
          <w:rFonts w:ascii="Arial" w:hAnsi="Arial" w:cs="Arial"/>
          <w:lang w:val="en-US"/>
        </w:rPr>
        <w:t xml:space="preserve"> and [Mo</w:t>
      </w:r>
      <w:r w:rsidRPr="001519D1">
        <w:rPr>
          <w:rFonts w:ascii="Arial" w:hAnsi="Arial" w:cs="Arial"/>
          <w:vertAlign w:val="subscript"/>
          <w:lang w:val="en-US"/>
        </w:rPr>
        <w:t>8</w:t>
      </w:r>
      <w:r w:rsidRPr="001519D1">
        <w:rPr>
          <w:rFonts w:ascii="Arial" w:hAnsi="Arial" w:cs="Arial"/>
          <w:lang w:val="en-US"/>
        </w:rPr>
        <w:t>O</w:t>
      </w:r>
      <w:r w:rsidRPr="001519D1">
        <w:rPr>
          <w:rFonts w:ascii="Arial" w:hAnsi="Arial" w:cs="Arial"/>
          <w:vertAlign w:val="subscript"/>
          <w:lang w:val="en-US"/>
        </w:rPr>
        <w:t>26</w:t>
      </w:r>
      <w:r w:rsidRPr="001519D1">
        <w:rPr>
          <w:rFonts w:ascii="Arial" w:hAnsi="Arial" w:cs="Arial"/>
          <w:lang w:val="en-US"/>
        </w:rPr>
        <w:t>]</w:t>
      </w:r>
      <w:r w:rsidRPr="001519D1">
        <w:rPr>
          <w:rFonts w:ascii="Arial" w:hAnsi="Arial" w:cs="Arial"/>
          <w:vertAlign w:val="superscript"/>
          <w:lang w:val="en-US"/>
        </w:rPr>
        <w:t>4-</w:t>
      </w:r>
      <w:r w:rsidRPr="001519D1">
        <w:rPr>
          <w:rFonts w:ascii="Arial" w:hAnsi="Arial" w:cs="Arial"/>
          <w:lang w:val="en-US"/>
        </w:rPr>
        <w:t>). On further increasing the Mo coverage a band at 820 cm</w:t>
      </w:r>
      <w:r w:rsidRPr="001519D1">
        <w:rPr>
          <w:rFonts w:ascii="Arial" w:hAnsi="Arial" w:cs="Arial"/>
          <w:vertAlign w:val="superscript"/>
          <w:lang w:val="en-US"/>
        </w:rPr>
        <w:t>-1</w:t>
      </w:r>
      <w:r w:rsidRPr="001519D1">
        <w:rPr>
          <w:rFonts w:ascii="Arial" w:hAnsi="Arial" w:cs="Arial"/>
          <w:lang w:val="en-US"/>
        </w:rPr>
        <w:t xml:space="preserve"> appears that is characteristic of MoO</w:t>
      </w:r>
      <w:r w:rsidRPr="001519D1">
        <w:rPr>
          <w:rFonts w:ascii="Arial" w:hAnsi="Arial" w:cs="Arial"/>
          <w:vertAlign w:val="subscript"/>
          <w:lang w:val="en-US"/>
        </w:rPr>
        <w:t>3</w:t>
      </w:r>
      <w:r w:rsidRPr="001519D1">
        <w:rPr>
          <w:rFonts w:ascii="Arial" w:hAnsi="Arial" w:cs="Arial"/>
          <w:lang w:val="en-US"/>
        </w:rPr>
        <w:t xml:space="preserve"> species. Tian </w:t>
      </w:r>
      <w:r w:rsidRPr="001519D1">
        <w:rPr>
          <w:rFonts w:ascii="Arial" w:hAnsi="Arial" w:cs="Arial"/>
          <w:i/>
          <w:iCs/>
          <w:lang w:val="en-US"/>
        </w:rPr>
        <w:t>et al</w:t>
      </w:r>
      <w:r w:rsidRPr="001519D1">
        <w:rPr>
          <w:rFonts w:ascii="Arial" w:hAnsi="Arial" w:cs="Arial"/>
          <w:lang w:val="en-US"/>
        </w:rPr>
        <w:t>.</w:t>
      </w:r>
      <w:r w:rsidR="006D48A6" w:rsidRPr="001519D1">
        <w:rPr>
          <w:rFonts w:ascii="Arial" w:hAnsi="Arial" w:cs="Arial"/>
          <w:lang w:val="en-US"/>
        </w:rPr>
        <w:t xml:space="preserve"> </w:t>
      </w:r>
      <w:r w:rsidR="006D48A6"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"10.1021/jp103269w", "ISBN" : "1932-7447", "ISSN" : "1932-7447", "abstract" : "UV\u2212vis diffuse reflectance spectroscopy (DRS) and Raman spectroscopy were used to examine the electronic and molecular structures, respectively, of well-defined Mo(VI) bulk mixed oxide reference compounds ((i) isolated MoO4 or MoO6 monomers, (ii) dimeric O3Mo\u2212O\u2212MoO3, (iii) chains of alternating MoO4 and MoO6 units, (iv) MoO6-coordinated Mo7\u2212Mo12 clusters, and (v) infinite layered sheets of MoO5 units), aqueous molybdate anions as a function of solution pH, and supported MoO3 catalysts (MoO3/SiO2, MoO3/Al2O3, and MoO3/ZrO2). Raman spectroscopy confirmed the identity and phase purity of the different bulk and solution molybdenum oxide structures. UV\u2212vis DRS provided the corresponding electronic edge energy (Eg) of the ligand-to-metal charge transfer (LMCT) transitions of the Mo(VI) cations. A linear inverse correlation was found between Eg and the number of bridging Mo\u2212O\u2212Mo covalent bonds around the central Mo(VI) cation. A relationship between Eg and the domain size (NMo) for finite MoOx clusters, however, was not found to exist. Application of the above insights allowed for the determination of the molecular structures of the two-dimensional surface MoOx species present in supported MoO3 catalysts as a function of environmental conditions. The current electronic and molecular structural findings are critical for subsequent studies that wish to establish reliable structure\u2212activity/selectivity relationships for molybdenum oxide catalysts, especially supported MoO3 catalysts.", "author" : [ { "dropping-particle" : "", "family" : "Tian", "given" : "Hanjing", "non-dropping-particle" : "", "parse-names" : false, "suffix" : "" }, { "dropping-particle" : "", "family" : "Roberts", "given" : "Charles A.", "non-dropping-particle" : "", "parse-names" : false, "suffix" : "" }, { "dropping-particle" : "", "family" : "Wachs", "given" : "Israel E.", "non-dropping-particle" : "", "parse-names" : false, "suffix" : "" } ], "container-title" : "Journal of Physical Chemistry C", "id" : "ITEM-1", "issue" : "2", "issued" : { "date-parts" : [ [ "2010" ] ] }, "page" : "14110-14120", "title" : "Molecular Structural Determination of Molybdena in Different Environments: Aqueous Solutions, Bulk Mixed Oxides, and Supported MoO3 Catalysts", "type" : "article-journal", "volume" : "114" }, "uris" : [ "http://www.mendeley.com/documents/?uuid=0daf5c5a-2403-4f27-8bda-f4bf90acaae3" ] } ], "mendeley" : { "formattedCitation" : "[48]", "plainTextFormattedCitation" : "[48]", "previouslyFormattedCitation" : "[48]" }, "properties" : { "noteIndex" : 0 }, "schema" : "https://github.com/citation-style-language/schema/raw/master/csl-citation.json" }</w:instrText>
      </w:r>
      <w:r w:rsidR="006D48A6" w:rsidRPr="001519D1">
        <w:rPr>
          <w:rFonts w:ascii="Arial" w:hAnsi="Arial" w:cs="Arial"/>
          <w:lang w:val="en-US"/>
        </w:rPr>
        <w:fldChar w:fldCharType="separate"/>
      </w:r>
      <w:r w:rsidR="00C76F86" w:rsidRPr="001519D1">
        <w:rPr>
          <w:rFonts w:ascii="Arial" w:hAnsi="Arial" w:cs="Arial"/>
          <w:noProof/>
          <w:lang w:val="en-US"/>
        </w:rPr>
        <w:t>[48]</w:t>
      </w:r>
      <w:r w:rsidR="006D48A6" w:rsidRPr="001519D1">
        <w:rPr>
          <w:rFonts w:ascii="Arial" w:hAnsi="Arial" w:cs="Arial"/>
          <w:lang w:val="en-US"/>
        </w:rPr>
        <w:fldChar w:fldCharType="end"/>
      </w:r>
      <w:r w:rsidRPr="001519D1">
        <w:rPr>
          <w:rFonts w:ascii="Arial" w:hAnsi="Arial" w:cs="Arial"/>
          <w:lang w:val="en-US"/>
        </w:rPr>
        <w:t xml:space="preserve"> studied among others the MoO</w:t>
      </w:r>
      <w:r w:rsidRPr="001519D1">
        <w:rPr>
          <w:rFonts w:ascii="Arial" w:hAnsi="Arial" w:cs="Arial"/>
          <w:vertAlign w:val="subscript"/>
          <w:lang w:val="en-US"/>
        </w:rPr>
        <w:t>3</w:t>
      </w:r>
      <w:r w:rsidRPr="001519D1">
        <w:rPr>
          <w:rFonts w:ascii="Arial" w:hAnsi="Arial" w:cs="Arial"/>
          <w:lang w:val="en-US"/>
        </w:rPr>
        <w:t>/ZrO</w:t>
      </w:r>
      <w:r w:rsidRPr="001519D1">
        <w:rPr>
          <w:rFonts w:ascii="Arial" w:hAnsi="Arial" w:cs="Arial"/>
          <w:vertAlign w:val="subscript"/>
          <w:lang w:val="en-US"/>
        </w:rPr>
        <w:t>2</w:t>
      </w:r>
      <w:r w:rsidRPr="001519D1">
        <w:rPr>
          <w:rFonts w:ascii="Arial" w:hAnsi="Arial" w:cs="Arial"/>
          <w:lang w:val="en-US"/>
        </w:rPr>
        <w:t xml:space="preserve"> system as a function of Mo coverage. They ascribed bands at 919 cm</w:t>
      </w:r>
      <w:r w:rsidRPr="001519D1">
        <w:rPr>
          <w:rFonts w:ascii="Arial" w:hAnsi="Arial" w:cs="Arial"/>
          <w:vertAlign w:val="superscript"/>
          <w:lang w:val="en-US"/>
        </w:rPr>
        <w:t>-1</w:t>
      </w:r>
      <w:r w:rsidRPr="001519D1">
        <w:rPr>
          <w:rFonts w:ascii="Arial" w:hAnsi="Arial" w:cs="Arial"/>
          <w:lang w:val="en-US"/>
        </w:rPr>
        <w:t xml:space="preserve"> to isolated [MoO</w:t>
      </w:r>
      <w:r w:rsidRPr="001519D1">
        <w:rPr>
          <w:rFonts w:ascii="Arial" w:hAnsi="Arial" w:cs="Arial"/>
          <w:vertAlign w:val="subscript"/>
          <w:lang w:val="en-US"/>
        </w:rPr>
        <w:t>4</w:t>
      </w:r>
      <w:r w:rsidRPr="001519D1">
        <w:rPr>
          <w:rFonts w:ascii="Arial" w:hAnsi="Arial" w:cs="Arial"/>
          <w:lang w:val="en-US"/>
        </w:rPr>
        <w:t>]</w:t>
      </w:r>
      <w:r w:rsidRPr="001519D1">
        <w:rPr>
          <w:rFonts w:ascii="Arial" w:hAnsi="Arial" w:cs="Arial"/>
          <w:vertAlign w:val="superscript"/>
          <w:lang w:val="en-US"/>
        </w:rPr>
        <w:t>2-</w:t>
      </w:r>
      <w:r w:rsidRPr="001519D1">
        <w:rPr>
          <w:rFonts w:ascii="Arial" w:hAnsi="Arial" w:cs="Arial"/>
          <w:lang w:val="en-US"/>
        </w:rPr>
        <w:t xml:space="preserve"> anion, bands at 952 and 880 cm</w:t>
      </w:r>
      <w:r w:rsidRPr="001519D1">
        <w:rPr>
          <w:rFonts w:ascii="Arial" w:hAnsi="Arial" w:cs="Arial"/>
          <w:vertAlign w:val="superscript"/>
          <w:lang w:val="en-US"/>
        </w:rPr>
        <w:t>-1</w:t>
      </w:r>
      <w:r w:rsidRPr="001519D1">
        <w:rPr>
          <w:rFonts w:ascii="Arial" w:hAnsi="Arial" w:cs="Arial"/>
          <w:lang w:val="en-US"/>
        </w:rPr>
        <w:t xml:space="preserve"> that reflects the existence of [Mo</w:t>
      </w:r>
      <w:r w:rsidRPr="001519D1">
        <w:rPr>
          <w:rFonts w:ascii="Arial" w:hAnsi="Arial" w:cs="Arial"/>
          <w:vertAlign w:val="subscript"/>
          <w:lang w:val="en-US"/>
        </w:rPr>
        <w:t>7</w:t>
      </w:r>
      <w:r w:rsidRPr="001519D1">
        <w:rPr>
          <w:rFonts w:ascii="Arial" w:hAnsi="Arial" w:cs="Arial"/>
          <w:lang w:val="en-US"/>
        </w:rPr>
        <w:t>O</w:t>
      </w:r>
      <w:r w:rsidRPr="001519D1">
        <w:rPr>
          <w:rFonts w:ascii="Arial" w:hAnsi="Arial" w:cs="Arial"/>
          <w:vertAlign w:val="subscript"/>
          <w:lang w:val="en-US"/>
        </w:rPr>
        <w:t>24</w:t>
      </w:r>
      <w:r w:rsidRPr="001519D1">
        <w:rPr>
          <w:rFonts w:ascii="Arial" w:hAnsi="Arial" w:cs="Arial"/>
          <w:lang w:val="en-US"/>
        </w:rPr>
        <w:t>]</w:t>
      </w:r>
      <w:r w:rsidRPr="001519D1">
        <w:rPr>
          <w:rFonts w:ascii="Arial" w:hAnsi="Arial" w:cs="Arial"/>
          <w:vertAlign w:val="superscript"/>
          <w:lang w:val="en-US"/>
        </w:rPr>
        <w:t>6-</w:t>
      </w:r>
      <w:r w:rsidRPr="001519D1">
        <w:rPr>
          <w:rFonts w:ascii="Arial" w:hAnsi="Arial" w:cs="Arial"/>
          <w:lang w:val="en-US"/>
        </w:rPr>
        <w:t xml:space="preserve"> clusters and a band at 820 cm</w:t>
      </w:r>
      <w:r w:rsidRPr="001519D1">
        <w:rPr>
          <w:rFonts w:ascii="Arial" w:hAnsi="Arial" w:cs="Arial"/>
          <w:vertAlign w:val="superscript"/>
          <w:lang w:val="en-US"/>
        </w:rPr>
        <w:t>-1</w:t>
      </w:r>
      <w:r w:rsidRPr="001519D1">
        <w:rPr>
          <w:rFonts w:ascii="Arial" w:hAnsi="Arial" w:cs="Arial"/>
          <w:lang w:val="en-US"/>
        </w:rPr>
        <w:t xml:space="preserve"> that assign to MoO</w:t>
      </w:r>
      <w:r w:rsidRPr="001519D1">
        <w:rPr>
          <w:rFonts w:ascii="Arial" w:hAnsi="Arial" w:cs="Arial"/>
          <w:vertAlign w:val="subscript"/>
          <w:lang w:val="en-US"/>
        </w:rPr>
        <w:t>3</w:t>
      </w:r>
      <w:r w:rsidRPr="001519D1">
        <w:rPr>
          <w:rFonts w:ascii="Arial" w:hAnsi="Arial" w:cs="Arial"/>
          <w:lang w:val="en-US"/>
        </w:rPr>
        <w:t xml:space="preserve"> nanoparticles and corresponds to asymmetric stretching mode of bridging Mo-O-Mo bonds. Finally, the weak band at 989 cm</w:t>
      </w:r>
      <w:r w:rsidRPr="001519D1">
        <w:rPr>
          <w:rFonts w:ascii="Arial" w:hAnsi="Arial" w:cs="Arial"/>
          <w:vertAlign w:val="superscript"/>
          <w:lang w:val="en-US"/>
        </w:rPr>
        <w:t>-1</w:t>
      </w:r>
      <w:r w:rsidRPr="001519D1">
        <w:rPr>
          <w:rFonts w:ascii="Arial" w:hAnsi="Arial" w:cs="Arial"/>
          <w:lang w:val="en-US"/>
        </w:rPr>
        <w:t xml:space="preserve"> is ascribed to the symmetric stretching mode of terminal Mo=O bonds of the MoO</w:t>
      </w:r>
      <w:r w:rsidRPr="001519D1">
        <w:rPr>
          <w:rFonts w:ascii="Arial" w:hAnsi="Arial" w:cs="Arial"/>
          <w:vertAlign w:val="subscript"/>
          <w:lang w:val="en-US"/>
        </w:rPr>
        <w:t>3</w:t>
      </w:r>
      <w:r w:rsidRPr="001519D1">
        <w:rPr>
          <w:rFonts w:ascii="Arial" w:hAnsi="Arial" w:cs="Arial"/>
          <w:lang w:val="en-US"/>
        </w:rPr>
        <w:t xml:space="preserve"> layer according to several authors</w:t>
      </w:r>
      <w:r w:rsidR="006D48A6" w:rsidRPr="001519D1">
        <w:rPr>
          <w:rFonts w:ascii="Arial" w:hAnsi="Arial" w:cs="Arial"/>
          <w:lang w:val="en-US"/>
        </w:rPr>
        <w:t xml:space="preserve"> </w:t>
      </w:r>
      <w:r w:rsidR="006D48A6"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"10.1016/j.jcat.2004.04.028", "ISBN" : "9140271609", "ISSN" : "00219517", "abstract" : "MoO3/ZrO2 catalysts with different MoO3 loadings (2-12 wt%) were prepared by the wet impregnation method. These catalysts were characterized by various techniques, such as X-ray diffraction (XRD), temperature-programmed reduction (TPR), laser Raman spectroscopy (LRS), X-ray photoelectron spectroscopy (XPS), and temperature-programmed desorption of NH3 and the catalytic properties were evaluated for vapor-phase ammoxidation of toluene to benzonitrile. XRD patterns show the presence of crystalline MoO3 peaks above 6.6 wt% MoO3, which corresponds to the theoretical monolayer loading of MoO3 on the zirconia used in the present study. The TPR suggests that reduction of the catalysts occurs in two stages and indicates that the reducibility of the catalysts increases with increase in MoO3 loading up to 6.6 wt%. The acidity of the catalysts was also found to increase up to 6.6 wt% of molybdena loading and it does not increase much at higher loadings. Raman results show that the surface molybdate species are present in low-loading samples, while crystalline MoO3 bands are observed from 9 wt% of MoO3 and above loadings. XPS spectra showed that molybdenum was present at Mo 6- on all fresh samples. The Mo/Zr atomic ratio shows that the dispersion of molybdena is high below 6.6 wt% MoO3 and dispersion decreases at higher molybdena loadings. The catalytic activity of the catalysts during ammoxidation of toluene was found to increase with loading up to 6.6 wt% and did not change appreciably beyond this loading. ?? 2004 Elsevier Inc. All rights reserved.", "author" : [ { "dropping-particle" : "", "family" : "Chary", "given" : "Komandur V.R.", "non-dropping-particle" : "", "parse-names" : false, "suffix" : "" }, { "dropping-particle" : "", "family" : "Reddy", "given" : "Kondakindi Rajender", "non-dropping-particle" : "", "parse-names" : false, "suffix" : "" }, { "dropping-particle" : "", "family" : "Kishan", "given" : "Gurram", "non-dropping-particle" : "", "parse-names" : false, "suffix" : "" }, { "dropping-particle" : "", "family" : "Niemantsverdriet", "given" : "J.W.", "non-dropping-particle" : "", "parse-names" : false, "suffix" : "" }, { "dropping-particle" : "", "family" : "Mestl", "given" : "Gerhard", "non-dropping-particle" : "", "parse-names" : false, "suffix" : "" } ], "container-title" : "Journal of Catalysis", "id" : "ITEM-1", "issue" : "2", "issued" : { "date-parts" : [ [ "2004" ] ] }, "page" : "283-291", "title" : "Structure and catalytic properties of molybdenum oxide catalysts supported on zirconia", "type" : "article-journal", "volume" : "226" }, "uris" : [ "http://www.mendeley.com/documents/?uuid=6b6bc34f-65ab-466d-bf4e-252a0df3266e" ] }, { "id" : "ITEM-2", "itemData" : { "DOI" : "10.1021/jp103269w", "ISBN" : "1932-7447", "ISSN" : "1932-7447", "abstract" : "UV\u2212vis diffuse reflectance spectroscopy (DRS) and Raman spectroscopy were used to examine the electronic and molecular structures, respectively, of well-defined Mo(VI) bulk mixed oxide reference compounds ((i) isolated MoO4 or MoO6 monomers, (ii) dimeric O3Mo\u2212O\u2212MoO3, (iii) chains of alternating MoO4 and MoO6 units, (iv) MoO6-coordinated Mo7\u2212Mo12 clusters, and (v) infinite layered sheets of MoO5 units), aqueous molybdate anions as a function of solution pH, and supported MoO3 catalysts (MoO3/SiO2, MoO3/Al2O3, and MoO3/ZrO2). Raman spectroscopy confirmed the identity and phase purity of the different bulk and solution molybdenum oxide structures. UV\u2212vis DRS provided the corresponding electronic edge energy (Eg) of the ligand-to-metal charge transfer (LMCT) transitions of the Mo(VI) cations. A linear inverse correlation was found between Eg and the number of bridging Mo\u2212O\u2212Mo covalent bonds around the central Mo(VI) cation. A relationship between Eg and the domain size (NMo) for finite MoOx clusters, however, was not found to exist. Application of the above insights allowed for the determination of the molecular structures of the two-dimensional surface MoOx species present in supported MoO3 catalysts as a function of environmental conditions. The current electronic and molecular structural findings are critical for subsequent studies that wish to establish reliable structure\u2212activity/selectivity relationships for molybdenum oxide catalysts, especially supported MoO3 catalysts.", "author" : [ { "dropping-particle" : "", "family" : "Tian", "given" : "Hanjing", "non-dropping-particle" : "", "parse-names" : false, "suffix" : "" }, { "dropping-particle" : "", "family" : "Roberts", "given" : "Charles A.", "non-dropping-particle" : "", "parse-names" : false, "suffix" : "" }, { "dropping-particle" : "", "family" : "Wachs", "given" : "Israel E.", "non-dropping-particle" : "", "parse-names" : false, "suffix" : "" } ], "container-title" : "Journal of Physical Chemistry C", "id" : "ITEM-2", "issue" : "2", "issued" : { "date-parts" : [ [ "2010" ] ] }, "page" : "14110-14120", "title" : "Molecular Structural Determination of Molybdena in Different Environments: Aqueous Solutions, Bulk Mixed Oxides, and Supported MoO3 Catalysts", "type" : "article-journal", "volume" : "114" }, "uris" : [ "http://www.mendeley.com/documents/?uuid=0daf5c5a-2403-4f27-8bda-f4bf90acaae3" ] } ], "mendeley" : { "formattedCitation" : "[42,48]", "plainTextFormattedCitation" : "[42,48]", "previouslyFormattedCitation" : "[42,48]" }, "properties" : { "noteIndex" : 0 }, "schema" : "https://github.com/citation-style-language/schema/raw/master/csl-citation.json" }</w:instrText>
      </w:r>
      <w:r w:rsidR="006D48A6" w:rsidRPr="001519D1">
        <w:rPr>
          <w:rFonts w:ascii="Arial" w:hAnsi="Arial" w:cs="Arial"/>
          <w:lang w:val="en-US"/>
        </w:rPr>
        <w:fldChar w:fldCharType="separate"/>
      </w:r>
      <w:r w:rsidR="00C76F86" w:rsidRPr="001519D1">
        <w:rPr>
          <w:rFonts w:ascii="Arial" w:hAnsi="Arial" w:cs="Arial"/>
          <w:noProof/>
          <w:lang w:val="en-US"/>
        </w:rPr>
        <w:t>[42,48]</w:t>
      </w:r>
      <w:r w:rsidR="006D48A6" w:rsidRPr="001519D1">
        <w:rPr>
          <w:rFonts w:ascii="Arial" w:hAnsi="Arial" w:cs="Arial"/>
          <w:lang w:val="en-US"/>
        </w:rPr>
        <w:fldChar w:fldCharType="end"/>
      </w:r>
      <w:r w:rsidR="006D48A6" w:rsidRPr="001519D1">
        <w:rPr>
          <w:rFonts w:ascii="Arial" w:hAnsi="Arial" w:cs="Arial"/>
          <w:lang w:val="en-US"/>
        </w:rPr>
        <w:t>.</w:t>
      </w:r>
    </w:p>
    <w:p w14:paraId="01D9FAF1" w14:textId="77777777" w:rsidR="00785190" w:rsidRPr="001519D1" w:rsidRDefault="00B92893" w:rsidP="00785190">
      <w:pPr>
        <w:keepNext/>
        <w:spacing w:after="0" w:line="360" w:lineRule="auto"/>
      </w:pPr>
      <w:r w:rsidRPr="001519D1">
        <w:rPr>
          <w:rFonts w:ascii="Arial" w:hAnsi="Arial" w:cs="Arial"/>
          <w:noProof/>
          <w:lang w:val="es-ES" w:eastAsia="es-ES"/>
        </w:rPr>
        <w:lastRenderedPageBreak/>
        <w:drawing>
          <wp:inline distT="0" distB="0" distL="0" distR="0" wp14:anchorId="64342F09" wp14:editId="40FD55EC">
            <wp:extent cx="2548255" cy="198755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8255" cy="1987550"/>
                    </a:xfrm>
                    <a:prstGeom prst="rect">
                      <a:avLst/>
                    </a:prstGeom>
                    <a:noFill/>
                  </pic:spPr>
                </pic:pic>
              </a:graphicData>
            </a:graphic>
          </wp:inline>
        </w:drawing>
      </w:r>
    </w:p>
    <w:p w14:paraId="22990671" w14:textId="20D0224C" w:rsidR="00B92893" w:rsidRPr="001519D1" w:rsidRDefault="00785190" w:rsidP="00785190">
      <w:pPr>
        <w:pStyle w:val="Descripcin"/>
        <w:rPr>
          <w:rFonts w:ascii="Arial" w:hAnsi="Arial" w:cs="Arial"/>
          <w:i w:val="0"/>
          <w:iCs w:val="0"/>
          <w:color w:val="auto"/>
          <w:sz w:val="22"/>
          <w:szCs w:val="22"/>
          <w:lang w:val="en-US"/>
        </w:rPr>
      </w:pPr>
      <w:r w:rsidRPr="001519D1">
        <w:rPr>
          <w:rFonts w:ascii="Arial" w:hAnsi="Arial" w:cs="Arial"/>
          <w:i w:val="0"/>
          <w:iCs w:val="0"/>
          <w:color w:val="auto"/>
          <w:sz w:val="22"/>
          <w:szCs w:val="22"/>
          <w:lang w:val="en-US"/>
        </w:rPr>
        <w:t xml:space="preserve">Figure </w:t>
      </w:r>
      <w:r w:rsidRPr="001519D1">
        <w:rPr>
          <w:rFonts w:ascii="Arial" w:hAnsi="Arial" w:cs="Arial"/>
          <w:i w:val="0"/>
          <w:iCs w:val="0"/>
          <w:color w:val="auto"/>
          <w:sz w:val="22"/>
          <w:szCs w:val="22"/>
        </w:rPr>
        <w:fldChar w:fldCharType="begin"/>
      </w:r>
      <w:r w:rsidRPr="001519D1">
        <w:rPr>
          <w:rFonts w:ascii="Arial" w:hAnsi="Arial" w:cs="Arial"/>
          <w:i w:val="0"/>
          <w:iCs w:val="0"/>
          <w:color w:val="auto"/>
          <w:sz w:val="22"/>
          <w:szCs w:val="22"/>
          <w:lang w:val="en-US"/>
        </w:rPr>
        <w:instrText xml:space="preserve"> SEQ Figure \* ARABIC </w:instrText>
      </w:r>
      <w:r w:rsidRPr="001519D1">
        <w:rPr>
          <w:rFonts w:ascii="Arial" w:hAnsi="Arial" w:cs="Arial"/>
          <w:i w:val="0"/>
          <w:iCs w:val="0"/>
          <w:color w:val="auto"/>
          <w:sz w:val="22"/>
          <w:szCs w:val="22"/>
        </w:rPr>
        <w:fldChar w:fldCharType="separate"/>
      </w:r>
      <w:r w:rsidR="00AB59A7" w:rsidRPr="001519D1">
        <w:rPr>
          <w:rFonts w:ascii="Arial" w:hAnsi="Arial" w:cs="Arial"/>
          <w:i w:val="0"/>
          <w:iCs w:val="0"/>
          <w:noProof/>
          <w:color w:val="auto"/>
          <w:sz w:val="22"/>
          <w:szCs w:val="22"/>
          <w:lang w:val="en-US"/>
        </w:rPr>
        <w:t>8</w:t>
      </w:r>
      <w:r w:rsidRPr="001519D1">
        <w:rPr>
          <w:rFonts w:ascii="Arial" w:hAnsi="Arial" w:cs="Arial"/>
          <w:i w:val="0"/>
          <w:iCs w:val="0"/>
          <w:color w:val="auto"/>
          <w:sz w:val="22"/>
          <w:szCs w:val="22"/>
        </w:rPr>
        <w:fldChar w:fldCharType="end"/>
      </w:r>
      <w:r w:rsidRPr="001519D1">
        <w:rPr>
          <w:rFonts w:ascii="Arial" w:hAnsi="Arial" w:cs="Arial"/>
          <w:i w:val="0"/>
          <w:iCs w:val="0"/>
          <w:color w:val="auto"/>
          <w:sz w:val="22"/>
          <w:szCs w:val="22"/>
          <w:lang w:val="en-US"/>
        </w:rPr>
        <w:t>.</w:t>
      </w:r>
      <w:r w:rsidRPr="001519D1">
        <w:rPr>
          <w:rFonts w:ascii="Arial" w:hAnsi="Arial" w:cs="Arial"/>
          <w:i w:val="0"/>
          <w:iCs w:val="0"/>
          <w:noProof/>
          <w:color w:val="auto"/>
          <w:sz w:val="22"/>
          <w:szCs w:val="22"/>
          <w:lang w:val="en-US"/>
        </w:rPr>
        <w:t xml:space="preserve"> Normalized Raman spectra using a red excitation laser (785 nm) at RT of ZrEuMo_x samples compared with the bare ZrEu sample.</w:t>
      </w:r>
    </w:p>
    <w:p w14:paraId="6398EC2C" w14:textId="77777777" w:rsidR="00B92893" w:rsidRPr="001519D1" w:rsidRDefault="00B92893" w:rsidP="00B92893">
      <w:pPr>
        <w:spacing w:after="0" w:line="360" w:lineRule="auto"/>
        <w:rPr>
          <w:rFonts w:ascii="Arial" w:hAnsi="Arial" w:cs="Arial"/>
          <w:lang w:val="en-US"/>
        </w:rPr>
      </w:pPr>
    </w:p>
    <w:p w14:paraId="7CA94CFD" w14:textId="77777777" w:rsidR="00B92893" w:rsidRPr="001519D1" w:rsidRDefault="00B92893" w:rsidP="00B92893">
      <w:pPr>
        <w:spacing w:after="0" w:line="360" w:lineRule="auto"/>
        <w:rPr>
          <w:rFonts w:ascii="Arial" w:hAnsi="Arial" w:cs="Arial"/>
          <w:lang w:val="en-US"/>
        </w:rPr>
      </w:pPr>
      <w:r w:rsidRPr="001519D1">
        <w:rPr>
          <w:rFonts w:ascii="Arial" w:hAnsi="Arial" w:cs="Arial"/>
          <w:lang w:val="en-US"/>
        </w:rPr>
        <w:t>According to this, it must be concluded that whatever the Mo loading in these synthesized ZrEuMo_x samples, MoO</w:t>
      </w:r>
      <w:r w:rsidRPr="001519D1">
        <w:rPr>
          <w:rFonts w:ascii="Arial" w:hAnsi="Arial" w:cs="Arial"/>
          <w:vertAlign w:val="subscript"/>
          <w:lang w:val="en-US"/>
        </w:rPr>
        <w:t>3</w:t>
      </w:r>
      <w:r w:rsidRPr="001519D1">
        <w:rPr>
          <w:rFonts w:ascii="Arial" w:hAnsi="Arial" w:cs="Arial"/>
          <w:lang w:val="en-US"/>
        </w:rPr>
        <w:t xml:space="preserve"> nanoparticles (band at 820-830 and 989 cm</w:t>
      </w:r>
      <w:r w:rsidRPr="001519D1">
        <w:rPr>
          <w:rFonts w:ascii="Arial" w:hAnsi="Arial" w:cs="Arial"/>
          <w:vertAlign w:val="superscript"/>
          <w:lang w:val="en-US"/>
        </w:rPr>
        <w:t>-1</w:t>
      </w:r>
      <w:r w:rsidRPr="001519D1">
        <w:rPr>
          <w:rFonts w:ascii="Arial" w:hAnsi="Arial" w:cs="Arial"/>
          <w:lang w:val="en-US"/>
        </w:rPr>
        <w:t>) together with the presence of polymolybdate clusters, [Mo</w:t>
      </w:r>
      <w:r w:rsidRPr="001519D1">
        <w:rPr>
          <w:rFonts w:ascii="Arial" w:hAnsi="Arial" w:cs="Arial"/>
          <w:vertAlign w:val="subscript"/>
          <w:lang w:val="en-US"/>
        </w:rPr>
        <w:t>7</w:t>
      </w:r>
      <w:r w:rsidRPr="001519D1">
        <w:rPr>
          <w:rFonts w:ascii="Arial" w:hAnsi="Arial" w:cs="Arial"/>
          <w:lang w:val="en-US"/>
        </w:rPr>
        <w:t>O</w:t>
      </w:r>
      <w:r w:rsidRPr="001519D1">
        <w:rPr>
          <w:rFonts w:ascii="Arial" w:hAnsi="Arial" w:cs="Arial"/>
          <w:vertAlign w:val="subscript"/>
          <w:lang w:val="en-US"/>
        </w:rPr>
        <w:t>24</w:t>
      </w:r>
      <w:r w:rsidRPr="001519D1">
        <w:rPr>
          <w:rFonts w:ascii="Arial" w:hAnsi="Arial" w:cs="Arial"/>
          <w:lang w:val="en-US"/>
        </w:rPr>
        <w:t>]</w:t>
      </w:r>
      <w:r w:rsidRPr="001519D1">
        <w:rPr>
          <w:rFonts w:ascii="Arial" w:hAnsi="Arial" w:cs="Arial"/>
          <w:vertAlign w:val="superscript"/>
          <w:lang w:val="en-US"/>
        </w:rPr>
        <w:t>6-</w:t>
      </w:r>
      <w:r w:rsidRPr="001519D1">
        <w:rPr>
          <w:rFonts w:ascii="Arial" w:hAnsi="Arial" w:cs="Arial"/>
          <w:lang w:val="en-US"/>
        </w:rPr>
        <w:t xml:space="preserve"> and [Mo</w:t>
      </w:r>
      <w:r w:rsidRPr="001519D1">
        <w:rPr>
          <w:rFonts w:ascii="Arial" w:hAnsi="Arial" w:cs="Arial"/>
          <w:vertAlign w:val="subscript"/>
          <w:lang w:val="en-US"/>
        </w:rPr>
        <w:t>8</w:t>
      </w:r>
      <w:r w:rsidRPr="001519D1">
        <w:rPr>
          <w:rFonts w:ascii="Arial" w:hAnsi="Arial" w:cs="Arial"/>
          <w:lang w:val="en-US"/>
        </w:rPr>
        <w:t>O</w:t>
      </w:r>
      <w:r w:rsidRPr="001519D1">
        <w:rPr>
          <w:rFonts w:ascii="Arial" w:hAnsi="Arial" w:cs="Arial"/>
          <w:vertAlign w:val="subscript"/>
          <w:lang w:val="en-US"/>
        </w:rPr>
        <w:t>26</w:t>
      </w:r>
      <w:r w:rsidRPr="001519D1">
        <w:rPr>
          <w:rFonts w:ascii="Arial" w:hAnsi="Arial" w:cs="Arial"/>
          <w:lang w:val="en-US"/>
        </w:rPr>
        <w:t>]</w:t>
      </w:r>
      <w:r w:rsidRPr="001519D1">
        <w:rPr>
          <w:rFonts w:ascii="Arial" w:hAnsi="Arial" w:cs="Arial"/>
          <w:vertAlign w:val="superscript"/>
          <w:lang w:val="en-US"/>
        </w:rPr>
        <w:t>4-</w:t>
      </w:r>
      <w:r w:rsidRPr="001519D1">
        <w:rPr>
          <w:rFonts w:ascii="Arial" w:hAnsi="Arial" w:cs="Arial"/>
          <w:lang w:val="en-US"/>
        </w:rPr>
        <w:t xml:space="preserve"> (bands at 890 and 961 cm</w:t>
      </w:r>
      <w:r w:rsidRPr="001519D1">
        <w:rPr>
          <w:rFonts w:ascii="Arial" w:hAnsi="Arial" w:cs="Arial"/>
          <w:vertAlign w:val="superscript"/>
          <w:lang w:val="en-US"/>
        </w:rPr>
        <w:t>-1</w:t>
      </w:r>
      <w:r w:rsidRPr="001519D1">
        <w:rPr>
          <w:rFonts w:ascii="Arial" w:hAnsi="Arial" w:cs="Arial"/>
          <w:lang w:val="en-US"/>
        </w:rPr>
        <w:t>) are always present. However, the line profile of the Raman spectra between 700 and 1000 cm</w:t>
      </w:r>
      <w:r w:rsidRPr="001519D1">
        <w:rPr>
          <w:rFonts w:ascii="Arial" w:hAnsi="Arial" w:cs="Arial"/>
          <w:vertAlign w:val="superscript"/>
          <w:lang w:val="en-US"/>
        </w:rPr>
        <w:t>-1</w:t>
      </w:r>
      <w:r w:rsidRPr="001519D1">
        <w:rPr>
          <w:rFonts w:ascii="Arial" w:hAnsi="Arial" w:cs="Arial"/>
          <w:lang w:val="en-US"/>
        </w:rPr>
        <w:t xml:space="preserve"> may not allow discarding the existence of isolated molybdate ions since their characteristic mode at 919 cm</w:t>
      </w:r>
      <w:r w:rsidRPr="001519D1">
        <w:rPr>
          <w:rFonts w:ascii="Arial" w:hAnsi="Arial" w:cs="Arial"/>
          <w:vertAlign w:val="superscript"/>
          <w:lang w:val="en-US"/>
        </w:rPr>
        <w:t>-1</w:t>
      </w:r>
      <w:r w:rsidRPr="001519D1">
        <w:rPr>
          <w:rFonts w:ascii="Arial" w:hAnsi="Arial" w:cs="Arial"/>
          <w:lang w:val="en-US"/>
        </w:rPr>
        <w:t xml:space="preserve"> may be hidden in the broad and complex band shown in Figure 8.</w:t>
      </w:r>
    </w:p>
    <w:p w14:paraId="05FB9387" w14:textId="77777777" w:rsidR="00B92893" w:rsidRPr="001519D1" w:rsidRDefault="00B92893" w:rsidP="00B92893">
      <w:pPr>
        <w:spacing w:after="0" w:line="360" w:lineRule="auto"/>
        <w:rPr>
          <w:rFonts w:ascii="Arial" w:hAnsi="Arial" w:cs="Arial"/>
          <w:lang w:val="en-US"/>
        </w:rPr>
      </w:pPr>
    </w:p>
    <w:p w14:paraId="1F576136" w14:textId="77777777" w:rsidR="00B92893" w:rsidRPr="001519D1" w:rsidRDefault="00B92893" w:rsidP="00B92893">
      <w:pPr>
        <w:spacing w:after="0" w:line="360" w:lineRule="auto"/>
        <w:rPr>
          <w:rFonts w:ascii="Arial" w:hAnsi="Arial" w:cs="Arial"/>
          <w:lang w:val="en-US"/>
        </w:rPr>
      </w:pPr>
      <w:r w:rsidRPr="001519D1">
        <w:rPr>
          <w:rFonts w:ascii="Arial" w:hAnsi="Arial" w:cs="Arial"/>
          <w:lang w:val="en-US"/>
        </w:rPr>
        <w:t>The analysis of the UV-Vis spectra together with the densities estimate allowed to propose a model for MoO</w:t>
      </w:r>
      <w:r w:rsidRPr="001519D1">
        <w:rPr>
          <w:rFonts w:ascii="Arial" w:hAnsi="Arial" w:cs="Arial"/>
          <w:vertAlign w:val="subscript"/>
          <w:lang w:val="en-US"/>
        </w:rPr>
        <w:t>3</w:t>
      </w:r>
      <w:r w:rsidRPr="001519D1">
        <w:rPr>
          <w:rFonts w:ascii="Arial" w:hAnsi="Arial" w:cs="Arial"/>
          <w:lang w:val="en-US"/>
        </w:rPr>
        <w:t xml:space="preserve"> deposits consistent with molybdate and polymolybdate species dispersed on the ZrEu mixed oxide at coverages below or close to the monolayer. The Raman data above clearly state the presence of Mo-containing phases of high nuclearity MoO</w:t>
      </w:r>
      <w:r w:rsidRPr="001519D1">
        <w:rPr>
          <w:rFonts w:ascii="Arial" w:hAnsi="Arial" w:cs="Arial"/>
          <w:vertAlign w:val="subscript"/>
          <w:lang w:val="en-US"/>
        </w:rPr>
        <w:t>3</w:t>
      </w:r>
      <w:r w:rsidRPr="001519D1">
        <w:rPr>
          <w:rFonts w:ascii="Arial" w:hAnsi="Arial" w:cs="Arial"/>
          <w:lang w:val="en-US"/>
        </w:rPr>
        <w:t xml:space="preserve"> and polymolybdate clusters even for the lowest loading tested. This seems to discard the formation of a continuous monolayer and support the XPS data that points to islands of high nuclearity Mo species sitting on Eu sites.</w:t>
      </w:r>
    </w:p>
    <w:p w14:paraId="76390CCF" w14:textId="77777777" w:rsidR="00B92893" w:rsidRPr="001519D1" w:rsidRDefault="00B92893" w:rsidP="00B92893">
      <w:pPr>
        <w:spacing w:after="0" w:line="360" w:lineRule="auto"/>
        <w:rPr>
          <w:rFonts w:ascii="Arial" w:hAnsi="Arial" w:cs="Arial"/>
          <w:lang w:val="en-US"/>
        </w:rPr>
      </w:pPr>
    </w:p>
    <w:p w14:paraId="05AD6A3F" w14:textId="776A1DA5" w:rsidR="00B92893" w:rsidRPr="001519D1" w:rsidRDefault="00B92893" w:rsidP="00B92893">
      <w:pPr>
        <w:spacing w:after="0" w:line="360" w:lineRule="auto"/>
        <w:rPr>
          <w:rFonts w:ascii="Arial" w:hAnsi="Arial" w:cs="Arial"/>
          <w:lang w:val="en-US"/>
        </w:rPr>
      </w:pPr>
      <w:r w:rsidRPr="001519D1">
        <w:rPr>
          <w:rFonts w:ascii="Arial" w:hAnsi="Arial" w:cs="Arial"/>
          <w:lang w:val="en-US"/>
        </w:rPr>
        <w:t xml:space="preserve">Finally, TPR analysis of both PtCeAl and ZrEuMo_x samples allow understand the behavior of these materials under reducing atmospheres present in the WGS reaction. Concretely in this work, this reaction will be studied using a surrogate of natural gas reformate (previously named industrial conditions) and, therefore, the feed stream will contain </w:t>
      </w:r>
      <w:r w:rsidRPr="001519D1">
        <w:rPr>
          <w:rFonts w:ascii="Arial" w:hAnsi="Arial" w:cs="Arial"/>
          <w:i/>
          <w:iCs/>
          <w:lang w:val="en-US"/>
        </w:rPr>
        <w:t>ca.</w:t>
      </w:r>
      <w:r w:rsidRPr="001519D1">
        <w:rPr>
          <w:rFonts w:ascii="Arial" w:hAnsi="Arial" w:cs="Arial"/>
          <w:lang w:val="en-US"/>
        </w:rPr>
        <w:t xml:space="preserve"> 50 % of H</w:t>
      </w:r>
      <w:r w:rsidRPr="001519D1">
        <w:rPr>
          <w:rFonts w:ascii="Arial" w:hAnsi="Arial" w:cs="Arial"/>
          <w:vertAlign w:val="subscript"/>
          <w:lang w:val="en-US"/>
        </w:rPr>
        <w:t>2</w:t>
      </w:r>
      <w:r w:rsidRPr="001519D1">
        <w:rPr>
          <w:rFonts w:ascii="Arial" w:hAnsi="Arial" w:cs="Arial"/>
          <w:lang w:val="en-US"/>
        </w:rPr>
        <w:t>. Moreover, for the PtCeAl catalyst, this analysis will provide information to stablish the Pt activation step conditions. In general, the platinum reduction process strongly depends on the metal loading, the metal dispersion, the nature of the support, the synthesis method and the temperature treatment</w:t>
      </w:r>
      <w:r w:rsidR="006D48A6" w:rsidRPr="001519D1">
        <w:rPr>
          <w:rFonts w:ascii="Arial" w:hAnsi="Arial" w:cs="Arial"/>
          <w:lang w:val="en-US"/>
        </w:rPr>
        <w:t xml:space="preserve"> </w:t>
      </w:r>
      <w:r w:rsidR="006D48A6"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"10.1016/1381-1169(96)00127-6", "ISBN" : "0021-9517", "ISSN" : "13811169", "abstract" : "Pt/Al2O3 samples of different platinum loadings are prepared by impregnating \u03b3-Al2O3 with PtCl4 solution. Reduced Pt/Al2O3 samples are oxidized by dioxygen to examine the variation of Pt-O3 (platinum-oxide) species with the oxidation temperature. Four different Pt-O3 species are characterized according to their reduction temperature (T(r)) found in the temperature-programmed reduction (TPR) experiments. They are assigned as surface platinum oxide (T(r) = 25\u00b0C), PtO (T(r) = 50\u00b0C), PtO2 (T(r) = 100\u00b0C) and PtAl2O4 (T(r) = 220\u00b0C), respectively, mainly according to their N(o)/N(Pt) stoichiometry found in the TPR and their desorption kinetics found in the technique of temperature programmed desorption (TPD). These four species alternate as the dominant Pt-O3 products on Pt/Al2O3 samples when the oxidation temperature is raised to 25\u00b0C, 300\u00b0C, 500\u00b0C and 600\u00b0C, respectively.", "author" : [ { "dropping-particle" : "", "family" : "Hwang", "given" : "Chin-Pei", "non-dropping-particle" : "", "parse-names" : false, "suffix" : "" }, { "dropping-particle" : "", "family" : "Yeh", "given" : "Chuin-Tih", "non-dropping-particle" : "", "parse-names" : false, "suffix" : "" } ], "container-title" : "Journal of Catalysis", "id" : "ITEM-1", "issued" : { "date-parts" : [ [ "1999" ] ] }, "page" : "48-55", "title" : "Platinum-Oxide Species Formed on Progressive Oxidation of Platinum Crystallites Supported on Silica and Silica-Alumina", "type" : "article-journal", "volume" : "182" }, "uris" : [ "http://www.mendeley.com/documents/?uuid=4101c5cb-975b-4ee8-b8c6-b386278fa02d" ] }, { "id" : "ITEM-2", "itemData" : { "abstract" : "The reducibility of platinum on y-Al203 and Ti02 was studied with the aid of temperature programmed reduction. The reduction peak temperature was found to be dependent on the temperature of the primary oxidation after impregnation and dry- ing. The higher the oxidation temperature the lower the TPR peak temperature and the higher the H2 consumption. During the oxidation small PtO part$c+les were formed which were more easily reduced than the original isola z ed Pt ions. For Pt/A1203 no decomposition of Pt02 was observed up to 750 K, while bulk PtO2 decom- posed around 600 K. This demonstrated that there is a substantial interaction between Pt02 and Al 03. For PtO supported on Ti02 and Si02 this interaction is much weaker and on z hese suppor s Pt02 decomposed at lower temperatures than on z Al2O3. Reduction of passivated catalysts, with H/Pt &lt; 0.8 in the metallic state, took place even at 223 K. After passivation these catalysts consist of a metal core surrounded by a metal oxide skin. Due to the presence of the metallic core, H2 can be dissociatively chemisorbed at low temperatures and induce reduction of the oxide layer. The implications of this for the 02-H2 titration method are discussed. Reduction of Pt/TiO2 led to metal assisted reduction of the support. Below 500 K only a small part of the support is (reversibly) reduced in the near vicin- ity of the metal particles. Above 500 K further metal assisted reduction of the Ti02 support takes place, probably promoted by increased ion mobility.", "author" : [ { "dropping-particle" : "", "family" : "Huizinga", "given" : "T.", "non-dropping-particle" : "", "parse-names" : false, "suffix" : "" }, { "dropping-particle" : "", "family" : "Grondelle", "given" : "J.", "non-dropping-particle" : "Van", "parse-names" : false, "suffix" : "" }, { "dropping-particle" : "", "family" : "Prins", "given" : "R.", "non-dropping-particle" : "", "parse-names" : false, "suffix" : "" } ], "container-title" : "Applied Catalysis", "id" : "ITEM-2", "issued" : { "date-parts" : [ [ "1984" ] ] }, "page" : "199-213", "title" : "A temperature programmed reduction study of Pt on Al2O3 and TiO2", "type" : "article-journal", "volume" : "10" }, "uris" : [ "http://www.mendeley.com/documents/?uuid=455edcd4-b5b9-4a9a-aaf8-d955ca0aee53" ] }, { "id" : "ITEM-3", "itemData" : { "DOI" : "10.1016/S0021-9517(79)80005-6", "ISBN" : "0021-9517", "ISSN" : "10902694", "abstract" : "Using temperature-programmed reduction, Pt oxide deposited on ??-Al2O3 was found to be present in two phases: a particulate phase in which the Pt oxide is aggregated and has little interaction with the support, and a dispersed phase in which Pt oxide has a larger interaction with the support. The lower the concentration of Pt oxide in the dispersed phase, the stronger is the Pt oxide-support interaction. Using selective chemisorption of H2 and CO on Pt/??-Al2O3 samples, the Pt oxide concentration in the dispersed phase was found to increase proportionally with Pt loading until a saturation concentration of 2.2 ??mol Pt/m2 (BET) is reached. Beyond this concentration, the excess Pt oxide aggregates to form a particulate phase. At 500??C in O2 a quasi-equilibrium between Pt oxide in the dispersed phase and that in the particulate phase is reached. The behavior of Pt oxide on ??-Al2O3 during other various heat treatments was found, using transmission electron microscopy, to depend on Pt loading as well as temperature and chemical atmosphere. ?? 1979 Academic Press, Inc. All rights reserved.", "author" : [ { "dropping-particle" : "", "family" : "Yao", "given" : "H.C.", "non-dropping-particle" : "", "parse-names" : false, "suffix" : "" }, { "dropping-particle" : "", "family" : "Sieg", "given" : "M.", "non-dropping-particle" : "", "parse-names" : false, "suffix" : "" }, { "dropping-particle" : "", "family" : "Plummer", "given" : "H.K. Jr.", "non-dropping-particle" : "", "parse-names" : false, "suffix" : "" } ], "container-title" : "Journal of Catalysis", "id" : "ITEM-3", "issue" : "3", "issued" : { "date-parts" : [ [ "1979" ] ] }, "page" : "365-374", "title" : "Surface Interactions in the Pt/gamma-Al2O3 System", "type" : "article-journal", "volume" : "59" }, "uris" : [ "http://www.mendeley.com/documents/?uuid=da0be594-43d5-428a-bd7e-015af76ab4bb" ] } ], "mendeley" : { "formattedCitation" : "[64\u201366]", "plainTextFormattedCitation" : "[64\u201366]", "previouslyFormattedCitation" : "[64\u201366]" }, "properties" : { "noteIndex" : 0 }, "schema" : "https://github.com/citation-style-language/schema/raw/master/csl-citation.json" }</w:instrText>
      </w:r>
      <w:r w:rsidR="006D48A6" w:rsidRPr="001519D1">
        <w:rPr>
          <w:rFonts w:ascii="Arial" w:hAnsi="Arial" w:cs="Arial"/>
          <w:lang w:val="en-US"/>
        </w:rPr>
        <w:fldChar w:fldCharType="separate"/>
      </w:r>
      <w:r w:rsidR="00C76F86" w:rsidRPr="001519D1">
        <w:rPr>
          <w:rFonts w:ascii="Arial" w:hAnsi="Arial" w:cs="Arial"/>
          <w:noProof/>
          <w:lang w:val="en-US"/>
        </w:rPr>
        <w:t>[64–66]</w:t>
      </w:r>
      <w:r w:rsidR="006D48A6" w:rsidRPr="001519D1">
        <w:rPr>
          <w:rFonts w:ascii="Arial" w:hAnsi="Arial" w:cs="Arial"/>
          <w:lang w:val="en-US"/>
        </w:rPr>
        <w:fldChar w:fldCharType="end"/>
      </w:r>
      <w:r w:rsidR="006D48A6" w:rsidRPr="001519D1">
        <w:rPr>
          <w:rFonts w:ascii="Arial" w:hAnsi="Arial" w:cs="Arial"/>
          <w:lang w:val="en-US"/>
        </w:rPr>
        <w:t>.</w:t>
      </w:r>
      <w:r w:rsidRPr="001519D1">
        <w:rPr>
          <w:rFonts w:ascii="Arial" w:hAnsi="Arial" w:cs="Arial"/>
          <w:lang w:val="en-US"/>
        </w:rPr>
        <w:t xml:space="preserve"> The H</w:t>
      </w:r>
      <w:r w:rsidRPr="001519D1">
        <w:rPr>
          <w:rFonts w:ascii="Arial" w:hAnsi="Arial" w:cs="Arial"/>
          <w:vertAlign w:val="subscript"/>
          <w:lang w:val="en-US"/>
        </w:rPr>
        <w:t>2</w:t>
      </w:r>
      <w:r w:rsidRPr="001519D1">
        <w:rPr>
          <w:rFonts w:ascii="Arial" w:hAnsi="Arial" w:cs="Arial"/>
          <w:lang w:val="en-US"/>
        </w:rPr>
        <w:t>-TPR profile of the PtCeAl catalyst has been then compared in Figure 9a with the CeAl support in order to analy</w:t>
      </w:r>
      <w:r w:rsidR="00C1272A" w:rsidRPr="001519D1">
        <w:rPr>
          <w:rFonts w:ascii="Arial" w:hAnsi="Arial" w:cs="Arial"/>
          <w:lang w:val="en-US"/>
        </w:rPr>
        <w:t>z</w:t>
      </w:r>
      <w:r w:rsidRPr="001519D1">
        <w:rPr>
          <w:rFonts w:ascii="Arial" w:hAnsi="Arial" w:cs="Arial"/>
          <w:lang w:val="en-US"/>
        </w:rPr>
        <w:t xml:space="preserve">e the reduction associated to </w:t>
      </w:r>
      <w:r w:rsidRPr="001519D1">
        <w:rPr>
          <w:rFonts w:ascii="Arial" w:hAnsi="Arial" w:cs="Arial"/>
          <w:lang w:val="en-US"/>
        </w:rPr>
        <w:lastRenderedPageBreak/>
        <w:t>ceria, as well as with a 2 wt.% Pt supported on an undoped commercial alumina support also prepared by wet impregnation. As Al</w:t>
      </w:r>
      <w:r w:rsidRPr="001519D1">
        <w:rPr>
          <w:rFonts w:ascii="Arial" w:hAnsi="Arial" w:cs="Arial"/>
          <w:vertAlign w:val="subscript"/>
          <w:lang w:val="en-US"/>
        </w:rPr>
        <w:t>2</w:t>
      </w:r>
      <w:r w:rsidRPr="001519D1">
        <w:rPr>
          <w:rFonts w:ascii="Arial" w:hAnsi="Arial" w:cs="Arial"/>
          <w:lang w:val="en-US"/>
        </w:rPr>
        <w:t>O</w:t>
      </w:r>
      <w:r w:rsidRPr="001519D1">
        <w:rPr>
          <w:rFonts w:ascii="Arial" w:hAnsi="Arial" w:cs="Arial"/>
          <w:vertAlign w:val="subscript"/>
          <w:lang w:val="en-US"/>
        </w:rPr>
        <w:t>3</w:t>
      </w:r>
      <w:r w:rsidRPr="001519D1">
        <w:rPr>
          <w:rFonts w:ascii="Arial" w:hAnsi="Arial" w:cs="Arial"/>
          <w:lang w:val="en-US"/>
        </w:rPr>
        <w:t xml:space="preserve"> is a non-reducible oxide, the H</w:t>
      </w:r>
      <w:r w:rsidRPr="001519D1">
        <w:rPr>
          <w:rFonts w:ascii="Arial" w:hAnsi="Arial" w:cs="Arial"/>
          <w:vertAlign w:val="subscript"/>
          <w:lang w:val="en-US"/>
        </w:rPr>
        <w:t>2</w:t>
      </w:r>
      <w:r w:rsidRPr="001519D1">
        <w:rPr>
          <w:rFonts w:ascii="Arial" w:hAnsi="Arial" w:cs="Arial"/>
          <w:lang w:val="en-US"/>
        </w:rPr>
        <w:t xml:space="preserve"> consumption in this Pt/Al</w:t>
      </w:r>
      <w:r w:rsidRPr="001519D1">
        <w:rPr>
          <w:rFonts w:ascii="Arial" w:hAnsi="Arial" w:cs="Arial"/>
          <w:vertAlign w:val="subscript"/>
          <w:lang w:val="en-US"/>
        </w:rPr>
        <w:t>2</w:t>
      </w:r>
      <w:r w:rsidRPr="001519D1">
        <w:rPr>
          <w:rFonts w:ascii="Arial" w:hAnsi="Arial" w:cs="Arial"/>
          <w:lang w:val="en-US"/>
        </w:rPr>
        <w:t>O</w:t>
      </w:r>
      <w:r w:rsidRPr="001519D1">
        <w:rPr>
          <w:rFonts w:ascii="Arial" w:hAnsi="Arial" w:cs="Arial"/>
          <w:vertAlign w:val="subscript"/>
          <w:lang w:val="en-US"/>
        </w:rPr>
        <w:t>3</w:t>
      </w:r>
      <w:r w:rsidRPr="001519D1">
        <w:rPr>
          <w:rFonts w:ascii="Arial" w:hAnsi="Arial" w:cs="Arial"/>
          <w:lang w:val="en-US"/>
        </w:rPr>
        <w:t xml:space="preserve"> sample must be entirely assigned to the reduction of the platinum species, whose process will appear at different temperatures depending on the Pt particle size and its interaction metal – support. Thus, Merlen </w:t>
      </w:r>
      <w:r w:rsidRPr="001519D1">
        <w:rPr>
          <w:rFonts w:ascii="Arial" w:hAnsi="Arial" w:cs="Arial"/>
          <w:i/>
          <w:iCs/>
          <w:lang w:val="en-US"/>
        </w:rPr>
        <w:t>et al</w:t>
      </w:r>
      <w:r w:rsidRPr="001519D1">
        <w:rPr>
          <w:rFonts w:ascii="Arial" w:hAnsi="Arial" w:cs="Arial"/>
          <w:lang w:val="en-US"/>
        </w:rPr>
        <w:t>.</w:t>
      </w:r>
      <w:r w:rsidR="006D48A6" w:rsidRPr="001519D1">
        <w:rPr>
          <w:rFonts w:ascii="Arial" w:hAnsi="Arial" w:cs="Arial"/>
          <w:lang w:val="en-US"/>
        </w:rPr>
        <w:t xml:space="preserve"> </w:t>
      </w:r>
      <w:r w:rsidR="006D48A6"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"10.1016/S0926-860X(99)00528-1", "ISSN" : "0926860X", "author" : [ { "dropping-particle" : "", "family" : "Merlen", "given" : "E.", "non-dropping-particle" : "", "parse-names" : false, "suffix" : "" }, { "dropping-particle" : "", "family" : "Beccat", "given" : "P.", "non-dropping-particle" : "", "parse-names" : false, "suffix" : "" }, { "dropping-particle" : "", "family" : "Bertolini", "given" : "J.C.", "non-dropping-particle" : "", "parse-names" : false, "suffix" : "" }, { "dropping-particle" : "", "family" : "Delich\u00e8re", "given" : "P.", "non-dropping-particle" : "", "parse-names" : false, "suffix" : "" }, { "dropping-particle" : "", "family" : "Zanier", "given" : "N.", "non-dropping-particle" : "", "parse-names" : false, "suffix" : "" }, { "dropping-particle" : "", "family" : "Didillon", "given" : "B.", "non-dropping-particle" : "", "parse-names" : false, "suffix" : "" } ], "container-title" : "Journal of Catalysis", "id" : "ITEM-1", "issue" : "77", "issued" : { "date-parts" : [ [ "1996" ] ] }, "page" : "178-188", "title" : "Characterization of Bimetallic Pt\u2013Sn/Al2O3 Catalysts: Relationship between Particle Size and Structure", "type" : "article-journal", "volume" : "159" }, "uris" : [ "http://www.mendeley.com/documents/?uuid=d2155cf0-bc37-4d92-897e-003280edb753" ] } ], "mendeley" : { "formattedCitation" : "[67]", "plainTextFormattedCitation" : "[67]", "previouslyFormattedCitation" : "[67]" }, "properties" : { "noteIndex" : 0 }, "schema" : "https://github.com/citation-style-language/schema/raw/master/csl-citation.json" }</w:instrText>
      </w:r>
      <w:r w:rsidR="006D48A6" w:rsidRPr="001519D1">
        <w:rPr>
          <w:rFonts w:ascii="Arial" w:hAnsi="Arial" w:cs="Arial"/>
          <w:lang w:val="en-US"/>
        </w:rPr>
        <w:fldChar w:fldCharType="separate"/>
      </w:r>
      <w:r w:rsidR="00C76F86" w:rsidRPr="001519D1">
        <w:rPr>
          <w:rFonts w:ascii="Arial" w:hAnsi="Arial" w:cs="Arial"/>
          <w:noProof/>
          <w:lang w:val="en-US"/>
        </w:rPr>
        <w:t>[67]</w:t>
      </w:r>
      <w:r w:rsidR="006D48A6" w:rsidRPr="001519D1">
        <w:rPr>
          <w:rFonts w:ascii="Arial" w:hAnsi="Arial" w:cs="Arial"/>
          <w:lang w:val="en-US"/>
        </w:rPr>
        <w:fldChar w:fldCharType="end"/>
      </w:r>
      <w:r w:rsidRPr="001519D1">
        <w:rPr>
          <w:rFonts w:ascii="Arial" w:hAnsi="Arial" w:cs="Arial"/>
          <w:lang w:val="en-US"/>
        </w:rPr>
        <w:t xml:space="preserve"> observed three different reduction peaks around 100, 180 and 300 ºC associated to PtO</w:t>
      </w:r>
      <w:r w:rsidRPr="001519D1">
        <w:rPr>
          <w:rFonts w:ascii="Arial" w:hAnsi="Arial" w:cs="Arial"/>
          <w:vertAlign w:val="subscript"/>
          <w:lang w:val="en-US"/>
        </w:rPr>
        <w:t>x</w:t>
      </w:r>
      <w:r w:rsidRPr="001519D1">
        <w:rPr>
          <w:rFonts w:ascii="Arial" w:hAnsi="Arial" w:cs="Arial"/>
          <w:lang w:val="en-US"/>
        </w:rPr>
        <w:t xml:space="preserve"> species with different particle sizes and metal – support interactions: the smaller the particles, the stronger the interaction and hence the higher the temperature of reduction</w:t>
      </w:r>
      <w:r w:rsidR="006D48A6" w:rsidRPr="001519D1">
        <w:rPr>
          <w:rFonts w:ascii="Arial" w:hAnsi="Arial" w:cs="Arial"/>
          <w:lang w:val="en-US"/>
        </w:rPr>
        <w:t xml:space="preserve"> </w:t>
      </w:r>
      <w:r w:rsidR="006D48A6"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"10.1016/j.apcatb.2012.06.024", "ISBN" : "09263373", "ISSN" : "09263373", "abstract" : "Two series of Pt or/and Ni-based \u03b3-alumina catalysts were prepared using sol-gel and conventional impregnation methods. Their activities were tested in the aqueous phase reforming of glycerol. All catalysts were also characterized by different techniques such as: ICP, BET, TPR-H 2, in situ XPS and XRD to study their textural and physicochemical properties. The effect of preparation method, nature of active phase and possible cooperative effect between Pt and Ni in catalytic performance have been the focus of this investigation. The results obtained showed that sol-gel catalysts present better catalytic properties. TPR-H 2, XPS and XRD showed that sol-gel PtNiAl catalyst contain well dispersed active phases and present high resistance against sintering leading to better and more stable catalytic activities, especially at moderate temperature/pressure conditions. As a result, sol-gel PtNi catalysts allowed higher reforming rates (3-8 times) to gaseous products than PtNi catalysts prepared by incipient wetness impregnation. This better behavior can be explained by the enhancement of textural properties, higher active phases dispersion and cooperative effect between Pt and Ni elements. \u00a9 2012 Elsevier B.V.", "author" : [ { "dropping-particle" : "", "family" : "Doukkali", "given" : "M.", "non-dropping-particle" : "El", "parse-names" : false, "suffix" : "" }, { "dropping-particle" : "", "family" : "Iriondo", "given" : "A.", "non-dropping-particle" : "", "parse-names" : false, "suffix" : "" }, { "dropping-particle" : "", "family" : "Arias", "given" : "P.L.", "non-dropping-particle" : "", "parse-names" : false, "suffix" : "" }, { "dropping-particle" : "", "family" : "Requies", "given" : "J.", "non-dropping-particle" : "", "parse-names" : false, "suffix" : "" }, { "dropping-particle" : "", "family" : "Gandar\u00edas", "given" : "I.", "non-dropping-particle" : "", "parse-names" : false, "suffix" : "" }, { "dropping-particle" : "", "family" : "Jalowiecki-Duhamel", "given" : "L.", "non-dropping-particle" : "", "parse-names" : false, "suffix" : "" }, { "dropping-particle" : "", "family" : "Dumeignil", "given" : "F.", "non-dropping-particle" : "", "parse-names" : false, "suffix" : "" } ], "container-title" : "Applied Catalysis B: Environmental", "id" : "ITEM-1", "issued" : { "date-parts" : [ [ "2012" ] ] }, "page" : "516-529", "publisher" : "Elsevier B.V.", "title" : "A comparison of sol-gel and impregnated Pt or/and Ni based \u03b3-alumina catalysts for bioglycerol aqueous phase reforming", "type" : "article-journal", "volume" : "125" }, "uris" : [ "http://www.mendeley.com/documents/?uuid=79547dcc-c10d-429c-8fa9-aef510ebb869" ] }, { "id" : "ITEM-2", "itemData" : { "DOI" : "10.1016/j.apcata.2008.11.031", "ISBN" : "0926860X (ISSN)", "ISSN" : "0926860X", "abstract" : "Alumina supported bimetallic Pt-Re, Pt-Sn and Pt-Ge naphtha reforming catalysts were studied. The Pt concentration was kept constant at 0.3% (weight basis) while the concentration of the second metal was varied in order to assess its influence. The experimental results showed that the addition of a second metal (Re, Sn, Ge) to the Pt catalyst produces a modification of the metal and acid functions. Sn and Ge produce similar modifications of the metal function: a marked decrease of the dehydrogenation and hydrogenolytic capacity of Pt. The addition of Re modifies the dehydrogenation capacity to a lower extent than the addition of Sn or Ge. The hydrogenolytic capacity is increased upon Re addition. The changes on the acid function are different depending on which metal is added. Re and Ge modify the acid strength distribution; they favor the formation of sites of lower acid strength but they keep the total concentration of acid sites almost constant. Conversely Sn addition not only produces a change in the acid strength distribution but also a decrease of the total acidity of the catalyst. ?? 2008 Elsevier B.V. All rights reserved.", "author" : [ { "dropping-particle" : "", "family" : "Mazzieri", "given" : "Vanina A.", "non-dropping-particle" : "", "parse-names" : false, "suffix" : "" }, { "dropping-particle" : "", "family" : "Grau", "given" : "Javier M.", "non-dropping-particle" : "", "parse-names" : false, "suffix" : "" }, { "dropping-particle" : "", "family" : "Yori", "given" : "Juan C.", "non-dropping-particle" : "", "parse-names" : false, "suffix" : "" }, { "dropping-particle" : "", "family" : "Vera", "given" : "Carlos R.", "non-dropping-particle" : "", "parse-names" : false, "suffix" : "" }, { "dropping-particle" : "", "family" : "Pieck", "given" : "Carlos L.", "non-dropping-particle" : "", "parse-names" : false, "suffix" : "" } ], "container-title" : "Applied Catalysis A: General", "id" : "ITEM-2", "issue" : "1-2", "issued" : { "date-parts" : [ [ "2009" ] ] }, "page" : "161-168", "title" : "Influence of additives on the Pt metal activity of naphtha reforming catalysts", "type" : "article-journal", "volume" : "354" }, "uris" : [ "http://www.mendeley.com/documents/?uuid=361a9a60-734f-457b-97d7-9a8e1eecf265" ] } ], "mendeley" : { "formattedCitation" : "[68,69]", "plainTextFormattedCitation" : "[68,69]", "previouslyFormattedCitation" : "[68,69]" }, "properties" : { "noteIndex" : 0 }, "schema" : "https://github.com/citation-style-language/schema/raw/master/csl-citation.json" }</w:instrText>
      </w:r>
      <w:r w:rsidR="006D48A6" w:rsidRPr="001519D1">
        <w:rPr>
          <w:rFonts w:ascii="Arial" w:hAnsi="Arial" w:cs="Arial"/>
          <w:lang w:val="en-US"/>
        </w:rPr>
        <w:fldChar w:fldCharType="separate"/>
      </w:r>
      <w:r w:rsidR="00C76F86" w:rsidRPr="001519D1">
        <w:rPr>
          <w:rFonts w:ascii="Arial" w:hAnsi="Arial" w:cs="Arial"/>
          <w:noProof/>
          <w:lang w:val="en-US"/>
        </w:rPr>
        <w:t>[68,69]</w:t>
      </w:r>
      <w:r w:rsidR="006D48A6" w:rsidRPr="001519D1">
        <w:rPr>
          <w:rFonts w:ascii="Arial" w:hAnsi="Arial" w:cs="Arial"/>
          <w:lang w:val="en-US"/>
        </w:rPr>
        <w:fldChar w:fldCharType="end"/>
      </w:r>
      <w:r w:rsidR="006D48A6" w:rsidRPr="001519D1">
        <w:rPr>
          <w:rFonts w:ascii="Arial" w:hAnsi="Arial" w:cs="Arial"/>
          <w:lang w:val="en-US"/>
        </w:rPr>
        <w:t>.</w:t>
      </w:r>
      <w:r w:rsidRPr="001519D1">
        <w:rPr>
          <w:rFonts w:ascii="Arial" w:hAnsi="Arial" w:cs="Arial"/>
          <w:lang w:val="en-US"/>
        </w:rPr>
        <w:t xml:space="preserve"> </w:t>
      </w:r>
      <w:r w:rsidR="00331326" w:rsidRPr="001519D1">
        <w:rPr>
          <w:rFonts w:ascii="Arial" w:hAnsi="Arial" w:cs="Arial"/>
          <w:lang w:val="en-US"/>
        </w:rPr>
        <w:t>As it can be noticed in Figure 9a, two general reduction processes at ~220 and ~361 ºC are described in the prepared catalyst PtCeAl. T</w:t>
      </w:r>
      <w:r w:rsidRPr="001519D1">
        <w:rPr>
          <w:rFonts w:ascii="Arial" w:hAnsi="Arial" w:cs="Arial"/>
          <w:lang w:val="en-US"/>
        </w:rPr>
        <w:t xml:space="preserve">aking into account that the reduction processes appear at relatively high temperatures (220 and 361 ºC) </w:t>
      </w:r>
      <w:r w:rsidR="00331326" w:rsidRPr="001519D1">
        <w:rPr>
          <w:rFonts w:ascii="Arial" w:hAnsi="Arial" w:cs="Arial"/>
          <w:lang w:val="en-US"/>
        </w:rPr>
        <w:t>respect to those reported in literature</w:t>
      </w:r>
      <w:r w:rsidRPr="001519D1">
        <w:rPr>
          <w:rFonts w:ascii="Arial" w:hAnsi="Arial" w:cs="Arial"/>
          <w:lang w:val="en-US"/>
        </w:rPr>
        <w:t xml:space="preserve"> and considering that platinum phases were not detected by XRD, the TPR data seem to indicate</w:t>
      </w:r>
      <w:r w:rsidR="009821CA" w:rsidRPr="001519D1">
        <w:rPr>
          <w:rFonts w:ascii="Arial" w:hAnsi="Arial" w:cs="Arial"/>
          <w:lang w:val="en-US"/>
        </w:rPr>
        <w:t xml:space="preserve"> small Pt particle sizes in the prepared sample</w:t>
      </w:r>
      <w:r w:rsidR="00331326" w:rsidRPr="001519D1">
        <w:rPr>
          <w:rFonts w:ascii="Arial" w:hAnsi="Arial" w:cs="Arial"/>
          <w:lang w:val="en-US"/>
        </w:rPr>
        <w:t>, with a high interaction between Pt and ceria support</w:t>
      </w:r>
      <w:r w:rsidR="009821CA" w:rsidRPr="001519D1">
        <w:rPr>
          <w:rFonts w:ascii="Arial" w:hAnsi="Arial" w:cs="Arial"/>
          <w:lang w:val="en-US"/>
        </w:rPr>
        <w:t>.</w:t>
      </w:r>
    </w:p>
    <w:p w14:paraId="35F34616" w14:textId="77777777" w:rsidR="00A33A1E" w:rsidRPr="001519D1" w:rsidRDefault="00A33A1E" w:rsidP="00B92893">
      <w:pPr>
        <w:spacing w:after="0" w:line="360" w:lineRule="auto"/>
        <w:rPr>
          <w:rFonts w:ascii="Arial" w:hAnsi="Arial" w:cs="Arial"/>
          <w:lang w:val="en-US"/>
        </w:rPr>
      </w:pPr>
    </w:p>
    <w:p w14:paraId="49F0E961" w14:textId="77777777" w:rsidR="00A33A1E" w:rsidRPr="001519D1" w:rsidRDefault="009821CA" w:rsidP="00A33A1E">
      <w:pPr>
        <w:keepNext/>
        <w:spacing w:after="0" w:line="360" w:lineRule="auto"/>
      </w:pPr>
      <w:r w:rsidRPr="001519D1">
        <w:rPr>
          <w:rFonts w:ascii="Arial" w:hAnsi="Arial" w:cs="Arial"/>
          <w:noProof/>
          <w:lang w:val="es-ES" w:eastAsia="es-ES"/>
        </w:rPr>
        <w:drawing>
          <wp:inline distT="0" distB="0" distL="0" distR="0" wp14:anchorId="51D60D8F" wp14:editId="1BD30416">
            <wp:extent cx="2882429" cy="2609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4296" cy="2620594"/>
                    </a:xfrm>
                    <a:prstGeom prst="rect">
                      <a:avLst/>
                    </a:prstGeom>
                    <a:noFill/>
                  </pic:spPr>
                </pic:pic>
              </a:graphicData>
            </a:graphic>
          </wp:inline>
        </w:drawing>
      </w:r>
    </w:p>
    <w:p w14:paraId="68D1AEE7" w14:textId="4C532CF0" w:rsidR="009821CA" w:rsidRPr="001519D1" w:rsidRDefault="00A33A1E" w:rsidP="00A33A1E">
      <w:pPr>
        <w:pStyle w:val="Descripcin"/>
        <w:rPr>
          <w:rFonts w:ascii="Arial" w:hAnsi="Arial" w:cs="Arial"/>
          <w:i w:val="0"/>
          <w:iCs w:val="0"/>
          <w:color w:val="auto"/>
          <w:sz w:val="22"/>
          <w:szCs w:val="22"/>
          <w:lang w:val="en-US"/>
        </w:rPr>
      </w:pPr>
      <w:r w:rsidRPr="001519D1">
        <w:rPr>
          <w:rFonts w:ascii="Arial" w:hAnsi="Arial" w:cs="Arial"/>
          <w:i w:val="0"/>
          <w:iCs w:val="0"/>
          <w:color w:val="auto"/>
          <w:sz w:val="22"/>
          <w:szCs w:val="22"/>
          <w:lang w:val="en-US"/>
        </w:rPr>
        <w:t xml:space="preserve">Figure </w:t>
      </w:r>
      <w:r w:rsidRPr="001519D1">
        <w:rPr>
          <w:rFonts w:ascii="Arial" w:hAnsi="Arial" w:cs="Arial"/>
          <w:i w:val="0"/>
          <w:iCs w:val="0"/>
          <w:color w:val="auto"/>
          <w:sz w:val="22"/>
          <w:szCs w:val="22"/>
        </w:rPr>
        <w:fldChar w:fldCharType="begin"/>
      </w:r>
      <w:r w:rsidRPr="001519D1">
        <w:rPr>
          <w:rFonts w:ascii="Arial" w:hAnsi="Arial" w:cs="Arial"/>
          <w:i w:val="0"/>
          <w:iCs w:val="0"/>
          <w:color w:val="auto"/>
          <w:sz w:val="22"/>
          <w:szCs w:val="22"/>
          <w:lang w:val="en-US"/>
        </w:rPr>
        <w:instrText xml:space="preserve"> SEQ Figure \* ARABIC </w:instrText>
      </w:r>
      <w:r w:rsidRPr="001519D1">
        <w:rPr>
          <w:rFonts w:ascii="Arial" w:hAnsi="Arial" w:cs="Arial"/>
          <w:i w:val="0"/>
          <w:iCs w:val="0"/>
          <w:color w:val="auto"/>
          <w:sz w:val="22"/>
          <w:szCs w:val="22"/>
        </w:rPr>
        <w:fldChar w:fldCharType="separate"/>
      </w:r>
      <w:r w:rsidR="00AB59A7" w:rsidRPr="001519D1">
        <w:rPr>
          <w:rFonts w:ascii="Arial" w:hAnsi="Arial" w:cs="Arial"/>
          <w:i w:val="0"/>
          <w:iCs w:val="0"/>
          <w:noProof/>
          <w:color w:val="auto"/>
          <w:sz w:val="22"/>
          <w:szCs w:val="22"/>
          <w:lang w:val="en-US"/>
        </w:rPr>
        <w:t>9</w:t>
      </w:r>
      <w:r w:rsidRPr="001519D1">
        <w:rPr>
          <w:rFonts w:ascii="Arial" w:hAnsi="Arial" w:cs="Arial"/>
          <w:i w:val="0"/>
          <w:iCs w:val="0"/>
          <w:color w:val="auto"/>
          <w:sz w:val="22"/>
          <w:szCs w:val="22"/>
        </w:rPr>
        <w:fldChar w:fldCharType="end"/>
      </w:r>
      <w:r w:rsidRPr="001519D1">
        <w:rPr>
          <w:rFonts w:ascii="Arial" w:hAnsi="Arial" w:cs="Arial"/>
          <w:i w:val="0"/>
          <w:iCs w:val="0"/>
          <w:color w:val="auto"/>
          <w:sz w:val="22"/>
          <w:szCs w:val="22"/>
          <w:lang w:val="en-US"/>
        </w:rPr>
        <w:t>.</w:t>
      </w:r>
      <w:r w:rsidRPr="001519D1">
        <w:rPr>
          <w:rFonts w:ascii="Arial" w:hAnsi="Arial" w:cs="Arial"/>
          <w:i w:val="0"/>
          <w:iCs w:val="0"/>
          <w:noProof/>
          <w:color w:val="auto"/>
          <w:sz w:val="22"/>
          <w:szCs w:val="22"/>
          <w:lang w:val="en-US"/>
        </w:rPr>
        <w:t xml:space="preserve"> H</w:t>
      </w:r>
      <w:r w:rsidRPr="001519D1">
        <w:rPr>
          <w:rFonts w:ascii="Arial" w:hAnsi="Arial" w:cs="Arial"/>
          <w:i w:val="0"/>
          <w:iCs w:val="0"/>
          <w:noProof/>
          <w:color w:val="auto"/>
          <w:sz w:val="22"/>
          <w:szCs w:val="22"/>
          <w:vertAlign w:val="subscript"/>
          <w:lang w:val="en-US"/>
        </w:rPr>
        <w:t>2</w:t>
      </w:r>
      <w:r w:rsidRPr="001519D1">
        <w:rPr>
          <w:rFonts w:ascii="Arial" w:hAnsi="Arial" w:cs="Arial"/>
          <w:i w:val="0"/>
          <w:iCs w:val="0"/>
          <w:noProof/>
          <w:color w:val="auto"/>
          <w:sz w:val="22"/>
          <w:szCs w:val="22"/>
          <w:lang w:val="en-US"/>
        </w:rPr>
        <w:t xml:space="preserve"> - TPR profiles of (a) PtCeAl catalyst compared with the unloaded Puralox commercial support CeO</w:t>
      </w:r>
      <w:r w:rsidRPr="001519D1">
        <w:rPr>
          <w:rFonts w:ascii="Arial" w:hAnsi="Arial" w:cs="Arial"/>
          <w:i w:val="0"/>
          <w:iCs w:val="0"/>
          <w:noProof/>
          <w:color w:val="auto"/>
          <w:sz w:val="22"/>
          <w:szCs w:val="22"/>
          <w:vertAlign w:val="subscript"/>
          <w:lang w:val="en-US"/>
        </w:rPr>
        <w:t>2</w:t>
      </w:r>
      <w:r w:rsidRPr="001519D1">
        <w:rPr>
          <w:rFonts w:ascii="Arial" w:hAnsi="Arial" w:cs="Arial"/>
          <w:i w:val="0"/>
          <w:iCs w:val="0"/>
          <w:noProof/>
          <w:color w:val="auto"/>
          <w:sz w:val="22"/>
          <w:szCs w:val="22"/>
          <w:lang w:val="en-US"/>
        </w:rPr>
        <w:t>/Al</w:t>
      </w:r>
      <w:r w:rsidRPr="001519D1">
        <w:rPr>
          <w:rFonts w:ascii="Arial" w:hAnsi="Arial" w:cs="Arial"/>
          <w:i w:val="0"/>
          <w:iCs w:val="0"/>
          <w:noProof/>
          <w:color w:val="auto"/>
          <w:sz w:val="22"/>
          <w:szCs w:val="22"/>
          <w:vertAlign w:val="subscript"/>
          <w:lang w:val="en-US"/>
        </w:rPr>
        <w:t>2</w:t>
      </w:r>
      <w:r w:rsidRPr="001519D1">
        <w:rPr>
          <w:rFonts w:ascii="Arial" w:hAnsi="Arial" w:cs="Arial"/>
          <w:i w:val="0"/>
          <w:iCs w:val="0"/>
          <w:noProof/>
          <w:color w:val="auto"/>
          <w:sz w:val="22"/>
          <w:szCs w:val="22"/>
          <w:lang w:val="en-US"/>
        </w:rPr>
        <w:t>O</w:t>
      </w:r>
      <w:r w:rsidRPr="001519D1">
        <w:rPr>
          <w:rFonts w:ascii="Arial" w:hAnsi="Arial" w:cs="Arial"/>
          <w:i w:val="0"/>
          <w:iCs w:val="0"/>
          <w:noProof/>
          <w:color w:val="auto"/>
          <w:sz w:val="22"/>
          <w:szCs w:val="22"/>
          <w:vertAlign w:val="subscript"/>
          <w:lang w:val="en-US"/>
        </w:rPr>
        <w:t>3</w:t>
      </w:r>
      <w:r w:rsidRPr="001519D1">
        <w:rPr>
          <w:rFonts w:ascii="Arial" w:hAnsi="Arial" w:cs="Arial"/>
          <w:i w:val="0"/>
          <w:iCs w:val="0"/>
          <w:noProof/>
          <w:color w:val="auto"/>
          <w:sz w:val="22"/>
          <w:szCs w:val="22"/>
          <w:lang w:val="en-US"/>
        </w:rPr>
        <w:t xml:space="preserve"> and the 2 wt.%. of Pt on commercial Al</w:t>
      </w:r>
      <w:r w:rsidRPr="001519D1">
        <w:rPr>
          <w:rFonts w:ascii="Arial" w:hAnsi="Arial" w:cs="Arial"/>
          <w:i w:val="0"/>
          <w:iCs w:val="0"/>
          <w:noProof/>
          <w:color w:val="auto"/>
          <w:sz w:val="22"/>
          <w:szCs w:val="22"/>
          <w:vertAlign w:val="subscript"/>
          <w:lang w:val="en-US"/>
        </w:rPr>
        <w:t>2</w:t>
      </w:r>
      <w:r w:rsidRPr="001519D1">
        <w:rPr>
          <w:rFonts w:ascii="Arial" w:hAnsi="Arial" w:cs="Arial"/>
          <w:i w:val="0"/>
          <w:iCs w:val="0"/>
          <w:noProof/>
          <w:color w:val="auto"/>
          <w:sz w:val="22"/>
          <w:szCs w:val="22"/>
          <w:lang w:val="en-US"/>
        </w:rPr>
        <w:t>O</w:t>
      </w:r>
      <w:r w:rsidRPr="001519D1">
        <w:rPr>
          <w:rFonts w:ascii="Arial" w:hAnsi="Arial" w:cs="Arial"/>
          <w:i w:val="0"/>
          <w:iCs w:val="0"/>
          <w:noProof/>
          <w:color w:val="auto"/>
          <w:sz w:val="22"/>
          <w:szCs w:val="22"/>
          <w:vertAlign w:val="subscript"/>
          <w:lang w:val="en-US"/>
        </w:rPr>
        <w:t>3</w:t>
      </w:r>
      <w:r w:rsidRPr="001519D1">
        <w:rPr>
          <w:rFonts w:ascii="Arial" w:hAnsi="Arial" w:cs="Arial"/>
          <w:i w:val="0"/>
          <w:iCs w:val="0"/>
          <w:noProof/>
          <w:color w:val="auto"/>
          <w:sz w:val="22"/>
          <w:szCs w:val="22"/>
          <w:lang w:val="en-US"/>
        </w:rPr>
        <w:t xml:space="preserve"> support and (b) ZrEuMo_x samples.</w:t>
      </w:r>
    </w:p>
    <w:p w14:paraId="4F2FC0B7" w14:textId="77777777" w:rsidR="009821CA" w:rsidRPr="001519D1" w:rsidRDefault="009821CA" w:rsidP="00B92893">
      <w:pPr>
        <w:spacing w:after="0" w:line="360" w:lineRule="auto"/>
        <w:rPr>
          <w:rFonts w:ascii="Arial" w:hAnsi="Arial" w:cs="Arial"/>
          <w:lang w:val="en-US"/>
        </w:rPr>
      </w:pPr>
    </w:p>
    <w:p w14:paraId="7600FC6D" w14:textId="609D1DC4" w:rsidR="009821CA" w:rsidRPr="001519D1" w:rsidRDefault="009821CA" w:rsidP="009821CA">
      <w:pPr>
        <w:spacing w:after="0" w:line="360" w:lineRule="auto"/>
        <w:rPr>
          <w:rFonts w:ascii="Arial" w:hAnsi="Arial" w:cs="Arial"/>
          <w:lang w:val="en-US"/>
        </w:rPr>
      </w:pPr>
      <w:r w:rsidRPr="001519D1">
        <w:rPr>
          <w:rFonts w:ascii="Arial" w:hAnsi="Arial" w:cs="Arial"/>
          <w:lang w:val="en-US"/>
        </w:rPr>
        <w:t>A quantitative analysis of the reducibility of the sample has been carried out after calibrating the TCD signal using a standard CuO pattern (Strem Chemicals 99.999%). Thus, the reducibility has been defined as:</w:t>
      </w:r>
    </w:p>
    <w:p w14:paraId="068BC066" w14:textId="3A60B484" w:rsidR="00B26B7E" w:rsidRPr="001519D1" w:rsidRDefault="00B26B7E" w:rsidP="009821CA">
      <w:pPr>
        <w:spacing w:after="0" w:line="360" w:lineRule="auto"/>
        <w:rPr>
          <w:rFonts w:ascii="Arial" w:hAnsi="Arial" w:cs="Arial"/>
          <w:lang w:val="en-US"/>
        </w:rPr>
      </w:pPr>
    </w:p>
    <w:p w14:paraId="332C73D7" w14:textId="01D768A1" w:rsidR="009821CA" w:rsidRPr="001519D1" w:rsidRDefault="00B26B7E" w:rsidP="009821CA">
      <w:pPr>
        <w:spacing w:after="0" w:line="360" w:lineRule="auto"/>
        <w:rPr>
          <w:rFonts w:ascii="Arial" w:hAnsi="Arial" w:cs="Arial"/>
          <w:lang w:val="en-US"/>
        </w:rPr>
      </w:pPr>
      <m:oMath>
        <m:r>
          <w:rPr>
            <w:rFonts w:ascii="Cambria Math" w:hAnsi="Cambria Math"/>
            <w:sz w:val="20"/>
            <w:szCs w:val="20"/>
            <w:lang w:val="en-US"/>
          </w:rPr>
          <m:t xml:space="preserve">% </m:t>
        </m:r>
        <m:r>
          <w:rPr>
            <w:rFonts w:ascii="Cambria Math" w:hAnsi="Cambria Math"/>
            <w:sz w:val="20"/>
            <w:szCs w:val="20"/>
          </w:rPr>
          <m:t>Reducibility</m:t>
        </m:r>
        <m:r>
          <w:rPr>
            <w:rFonts w:ascii="Cambria Math" w:hAnsi="Cambria Math"/>
            <w:sz w:val="20"/>
            <w:szCs w:val="20"/>
            <w:lang w:val="en-US"/>
          </w:rPr>
          <m:t xml:space="preserve">= </m:t>
        </m:r>
        <m:f>
          <m:fPr>
            <m:ctrlPr>
              <w:rPr>
                <w:rFonts w:ascii="Cambria Math" w:hAnsi="Cambria Math"/>
                <w:i/>
                <w:sz w:val="20"/>
                <w:szCs w:val="20"/>
              </w:rPr>
            </m:ctrlPr>
          </m:fPr>
          <m:num>
            <m:r>
              <w:rPr>
                <w:rFonts w:ascii="Cambria Math" w:hAnsi="Cambria Math"/>
                <w:sz w:val="20"/>
                <w:szCs w:val="20"/>
              </w:rPr>
              <m:t>Experimental</m:t>
            </m:r>
            <m:r>
              <w:rPr>
                <w:rFonts w:ascii="Cambria Math" w:hAnsi="Cambria Math"/>
                <w:sz w:val="20"/>
                <w:szCs w:val="20"/>
                <w:lang w:val="en-US"/>
              </w:rPr>
              <m:t xml:space="preserve"> </m:t>
            </m:r>
            <m:sSub>
              <m:sSubPr>
                <m:ctrlPr>
                  <w:rPr>
                    <w:rFonts w:ascii="Cambria Math" w:hAnsi="Cambria Math"/>
                    <w:i/>
                    <w:sz w:val="20"/>
                    <w:szCs w:val="20"/>
                  </w:rPr>
                </m:ctrlPr>
              </m:sSubPr>
              <m:e>
                <m:r>
                  <w:rPr>
                    <w:rFonts w:ascii="Cambria Math" w:hAnsi="Cambria Math"/>
                    <w:sz w:val="20"/>
                    <w:szCs w:val="20"/>
                  </w:rPr>
                  <m:t>H</m:t>
                </m:r>
                <m:ctrlPr>
                  <w:rPr>
                    <w:rFonts w:ascii="Cambria Math" w:hAnsi="Cambria Math"/>
                    <w:i/>
                    <w:sz w:val="20"/>
                    <w:szCs w:val="20"/>
                    <w:lang w:val="en-US"/>
                  </w:rPr>
                </m:ctrlPr>
              </m:e>
              <m:sub>
                <m:r>
                  <w:rPr>
                    <w:rFonts w:ascii="Cambria Math" w:hAnsi="Cambria Math"/>
                    <w:sz w:val="20"/>
                    <w:szCs w:val="20"/>
                    <w:lang w:val="en-US"/>
                  </w:rPr>
                  <m:t>2</m:t>
                </m:r>
              </m:sub>
            </m:sSub>
            <m:r>
              <w:rPr>
                <w:rFonts w:ascii="Cambria Math" w:hAnsi="Cambria Math"/>
                <w:sz w:val="20"/>
                <w:szCs w:val="20"/>
                <w:lang w:val="en-US"/>
              </w:rPr>
              <m:t xml:space="preserve"> </m:t>
            </m:r>
            <m:r>
              <w:rPr>
                <w:rFonts w:ascii="Cambria Math" w:hAnsi="Cambria Math"/>
                <w:sz w:val="20"/>
                <w:szCs w:val="20"/>
              </w:rPr>
              <m:t>consumption</m:t>
            </m:r>
          </m:num>
          <m:den>
            <m:r>
              <w:rPr>
                <w:rFonts w:ascii="Cambria Math" w:hAnsi="Cambria Math"/>
                <w:sz w:val="20"/>
                <w:szCs w:val="20"/>
              </w:rPr>
              <m:t>T</m:t>
            </m:r>
            <m:r>
              <w:rPr>
                <w:rFonts w:ascii="Cambria Math" w:hAnsi="Cambria Math"/>
                <w:sz w:val="20"/>
                <w:szCs w:val="20"/>
                <w:lang w:val="en-US"/>
              </w:rPr>
              <m:t>h</m:t>
            </m:r>
            <m:r>
              <w:rPr>
                <w:rFonts w:ascii="Cambria Math" w:hAnsi="Cambria Math"/>
                <w:sz w:val="20"/>
                <w:szCs w:val="20"/>
              </w:rPr>
              <m:t>eoretical</m:t>
            </m:r>
            <m:r>
              <w:rPr>
                <w:rFonts w:ascii="Cambria Math" w:hAnsi="Cambria Math"/>
                <w:sz w:val="20"/>
                <w:szCs w:val="20"/>
                <w:lang w:val="en-US"/>
              </w:rPr>
              <m:t xml:space="preserve"> </m:t>
            </m:r>
            <m:sSub>
              <m:sSubPr>
                <m:ctrlPr>
                  <w:rPr>
                    <w:rFonts w:ascii="Cambria Math" w:hAnsi="Cambria Math"/>
                    <w:i/>
                    <w:sz w:val="20"/>
                    <w:szCs w:val="20"/>
                  </w:rPr>
                </m:ctrlPr>
              </m:sSubPr>
              <m:e>
                <m:r>
                  <w:rPr>
                    <w:rFonts w:ascii="Cambria Math" w:hAnsi="Cambria Math"/>
                    <w:sz w:val="20"/>
                    <w:szCs w:val="20"/>
                  </w:rPr>
                  <m:t>H</m:t>
                </m:r>
                <m:ctrlPr>
                  <w:rPr>
                    <w:rFonts w:ascii="Cambria Math" w:hAnsi="Cambria Math"/>
                    <w:i/>
                    <w:sz w:val="20"/>
                    <w:szCs w:val="20"/>
                    <w:lang w:val="en-US"/>
                  </w:rPr>
                </m:ctrlPr>
              </m:e>
              <m:sub>
                <m:r>
                  <w:rPr>
                    <w:rFonts w:ascii="Cambria Math" w:hAnsi="Cambria Math"/>
                    <w:sz w:val="20"/>
                    <w:szCs w:val="20"/>
                    <w:lang w:val="en-US"/>
                  </w:rPr>
                  <m:t>2</m:t>
                </m:r>
              </m:sub>
            </m:sSub>
            <m:r>
              <w:rPr>
                <w:rFonts w:ascii="Cambria Math" w:hAnsi="Cambria Math"/>
                <w:sz w:val="20"/>
                <w:szCs w:val="20"/>
                <w:lang w:val="en-US"/>
              </w:rPr>
              <m:t xml:space="preserve"> </m:t>
            </m:r>
            <m:r>
              <w:rPr>
                <w:rFonts w:ascii="Cambria Math" w:hAnsi="Cambria Math"/>
                <w:sz w:val="20"/>
                <w:szCs w:val="20"/>
              </w:rPr>
              <m:t>consumption</m:t>
            </m:r>
          </m:den>
        </m:f>
        <m:r>
          <w:rPr>
            <w:rFonts w:ascii="Cambria Math" w:hAnsi="Cambria Math" w:hint="eastAsia"/>
            <w:sz w:val="20"/>
            <w:szCs w:val="20"/>
            <w:lang w:val="en-US"/>
          </w:rPr>
          <m:t>·</m:t>
        </m:r>
        <m:r>
          <w:rPr>
            <w:rFonts w:ascii="Cambria Math" w:hAnsi="Cambria Math"/>
            <w:sz w:val="20"/>
            <w:szCs w:val="20"/>
            <w:lang w:val="en-US"/>
          </w:rPr>
          <m:t>100</m:t>
        </m:r>
      </m:oMath>
      <w:r w:rsidRPr="001519D1">
        <w:rPr>
          <w:rFonts w:ascii="Arial" w:hAnsi="Arial" w:cs="Arial"/>
          <w:lang w:val="en-US"/>
        </w:rPr>
        <w:t xml:space="preserve"> </w:t>
      </w:r>
      <w:r w:rsidRPr="001519D1">
        <w:rPr>
          <w:rFonts w:ascii="Arial" w:hAnsi="Arial" w:cs="Arial"/>
          <w:lang w:val="en-US"/>
        </w:rPr>
        <w:tab/>
      </w:r>
      <w:r w:rsidRPr="001519D1">
        <w:rPr>
          <w:rFonts w:ascii="Arial" w:hAnsi="Arial" w:cs="Arial"/>
          <w:lang w:val="en-US"/>
        </w:rPr>
        <w:tab/>
      </w:r>
      <w:r w:rsidRPr="001519D1">
        <w:rPr>
          <w:rFonts w:ascii="Arial" w:hAnsi="Arial" w:cs="Arial"/>
          <w:lang w:val="en-US"/>
        </w:rPr>
        <w:tab/>
      </w:r>
      <w:r w:rsidRPr="001519D1">
        <w:rPr>
          <w:rFonts w:ascii="Arial" w:hAnsi="Arial" w:cs="Arial"/>
          <w:lang w:val="en-US"/>
        </w:rPr>
        <w:tab/>
      </w:r>
      <w:r w:rsidRPr="001519D1">
        <w:rPr>
          <w:rFonts w:ascii="Arial" w:hAnsi="Arial" w:cs="Arial"/>
          <w:lang w:val="en-US"/>
        </w:rPr>
        <w:tab/>
      </w:r>
      <w:r w:rsidRPr="001519D1">
        <w:rPr>
          <w:rFonts w:ascii="Arial" w:hAnsi="Arial" w:cs="Arial"/>
          <w:lang w:val="en-US"/>
        </w:rPr>
        <w:tab/>
        <w:t xml:space="preserve">     </w:t>
      </w:r>
      <w:r w:rsidR="009821CA" w:rsidRPr="001519D1">
        <w:rPr>
          <w:rFonts w:ascii="Arial" w:hAnsi="Arial" w:cs="Arial"/>
          <w:lang w:val="en-US"/>
        </w:rPr>
        <w:t>[1]</w:t>
      </w:r>
    </w:p>
    <w:p w14:paraId="4B64D02D" w14:textId="77777777" w:rsidR="009821CA" w:rsidRPr="001519D1" w:rsidRDefault="009821CA" w:rsidP="009821CA">
      <w:pPr>
        <w:spacing w:after="0" w:line="360" w:lineRule="auto"/>
        <w:rPr>
          <w:rFonts w:ascii="Arial" w:hAnsi="Arial" w:cs="Arial"/>
          <w:lang w:val="en-US"/>
        </w:rPr>
      </w:pPr>
    </w:p>
    <w:p w14:paraId="75933CB7" w14:textId="2B30CDA0" w:rsidR="009821CA" w:rsidRPr="001519D1" w:rsidRDefault="009821CA" w:rsidP="009821CA">
      <w:pPr>
        <w:spacing w:after="0" w:line="360" w:lineRule="auto"/>
        <w:rPr>
          <w:rFonts w:ascii="Arial" w:hAnsi="Arial" w:cs="Arial"/>
          <w:lang w:val="en-US"/>
        </w:rPr>
      </w:pPr>
      <w:r w:rsidRPr="001519D1">
        <w:rPr>
          <w:rFonts w:ascii="Arial" w:hAnsi="Arial" w:cs="Arial"/>
          <w:lang w:val="en-US"/>
        </w:rPr>
        <w:t>Accordingly, the total H</w:t>
      </w:r>
      <w:r w:rsidRPr="001519D1">
        <w:rPr>
          <w:rFonts w:ascii="Arial" w:hAnsi="Arial" w:cs="Arial"/>
          <w:vertAlign w:val="subscript"/>
          <w:lang w:val="en-US"/>
        </w:rPr>
        <w:t>2</w:t>
      </w:r>
      <w:r w:rsidRPr="001519D1">
        <w:rPr>
          <w:rFonts w:ascii="Arial" w:hAnsi="Arial" w:cs="Arial"/>
          <w:lang w:val="en-US"/>
        </w:rPr>
        <w:t xml:space="preserve"> consumption (up to ~ 450 ºC) respect to the theoretical one, assuming Pt</w:t>
      </w:r>
      <w:r w:rsidRPr="001519D1">
        <w:rPr>
          <w:rFonts w:ascii="Arial" w:hAnsi="Arial" w:cs="Arial"/>
          <w:vertAlign w:val="superscript"/>
          <w:lang w:val="en-US"/>
        </w:rPr>
        <w:t>4+</w:t>
      </w:r>
      <w:r w:rsidRPr="001519D1">
        <w:rPr>
          <w:rFonts w:ascii="Arial" w:hAnsi="Arial" w:cs="Arial"/>
          <w:lang w:val="en-US"/>
        </w:rPr>
        <w:t xml:space="preserve"> species (PtO</w:t>
      </w:r>
      <w:r w:rsidRPr="001519D1">
        <w:rPr>
          <w:rFonts w:ascii="Arial" w:hAnsi="Arial" w:cs="Arial"/>
          <w:vertAlign w:val="subscript"/>
          <w:lang w:val="en-US"/>
        </w:rPr>
        <w:t>2</w:t>
      </w:r>
      <w:r w:rsidRPr="001519D1">
        <w:rPr>
          <w:rFonts w:ascii="Arial" w:hAnsi="Arial" w:cs="Arial"/>
          <w:lang w:val="en-US"/>
        </w:rPr>
        <w:t xml:space="preserve"> + 2 H</w:t>
      </w:r>
      <w:r w:rsidRPr="001519D1">
        <w:rPr>
          <w:rFonts w:ascii="Arial" w:hAnsi="Arial" w:cs="Arial"/>
          <w:vertAlign w:val="subscript"/>
          <w:lang w:val="en-US"/>
        </w:rPr>
        <w:t>2</w:t>
      </w:r>
      <w:r w:rsidRPr="001519D1">
        <w:rPr>
          <w:rFonts w:ascii="Arial" w:hAnsi="Arial" w:cs="Arial"/>
          <w:lang w:val="en-US"/>
        </w:rPr>
        <w:t xml:space="preserve"> </w:t>
      </w:r>
      <w:r w:rsidR="00B26B7E" w:rsidRPr="001519D1">
        <w:rPr>
          <w:rFonts w:ascii="Cambria Math" w:eastAsia="Yu Gothic Light" w:hAnsi="Cambria Math" w:cs="Cambria Math"/>
          <w:lang w:val="en-US"/>
        </w:rPr>
        <w:t>⇆</w:t>
      </w:r>
      <w:r w:rsidRPr="001519D1">
        <w:rPr>
          <w:rFonts w:ascii="Arial" w:hAnsi="Arial" w:cs="Arial"/>
          <w:lang w:val="en-US"/>
        </w:rPr>
        <w:t xml:space="preserve"> Pt + 2 H</w:t>
      </w:r>
      <w:r w:rsidRPr="001519D1">
        <w:rPr>
          <w:rFonts w:ascii="Arial" w:hAnsi="Arial" w:cs="Arial"/>
          <w:vertAlign w:val="subscript"/>
          <w:lang w:val="en-US"/>
        </w:rPr>
        <w:t>2</w:t>
      </w:r>
      <w:r w:rsidR="00331326" w:rsidRPr="001519D1">
        <w:rPr>
          <w:rFonts w:ascii="Arial" w:hAnsi="Arial" w:cs="Arial"/>
          <w:lang w:val="en-US"/>
        </w:rPr>
        <w:t>O), indicates a 366</w:t>
      </w:r>
      <w:r w:rsidRPr="001519D1">
        <w:rPr>
          <w:rFonts w:ascii="Arial" w:hAnsi="Arial" w:cs="Arial"/>
          <w:lang w:val="en-US"/>
        </w:rPr>
        <w:t xml:space="preserve"> % of reducibility. This </w:t>
      </w:r>
      <w:r w:rsidRPr="001519D1">
        <w:rPr>
          <w:rFonts w:ascii="Arial" w:hAnsi="Arial" w:cs="Arial"/>
          <w:lang w:val="en-US"/>
        </w:rPr>
        <w:lastRenderedPageBreak/>
        <w:t>over-consumption could be due, besides the Pt reduction process, to other processes like Ce</w:t>
      </w:r>
      <w:r w:rsidRPr="001519D1">
        <w:rPr>
          <w:rFonts w:ascii="Arial" w:hAnsi="Arial" w:cs="Arial"/>
          <w:vertAlign w:val="superscript"/>
          <w:lang w:val="en-US"/>
        </w:rPr>
        <w:t>4+</w:t>
      </w:r>
      <w:r w:rsidRPr="001519D1">
        <w:rPr>
          <w:rFonts w:ascii="Arial" w:hAnsi="Arial" w:cs="Arial"/>
          <w:lang w:val="en-US"/>
        </w:rPr>
        <w:t xml:space="preserve"> reduction or carbon deposits hydrogenation reactions. Considering only the first observed reduction process around 220 ºC, the calculated reducibility st</w:t>
      </w:r>
      <w:r w:rsidR="00331326" w:rsidRPr="001519D1">
        <w:rPr>
          <w:rFonts w:ascii="Arial" w:hAnsi="Arial" w:cs="Arial"/>
          <w:lang w:val="en-US"/>
        </w:rPr>
        <w:t>ill shows over-consumption (270</w:t>
      </w:r>
      <w:r w:rsidRPr="001519D1">
        <w:rPr>
          <w:rFonts w:ascii="Arial" w:hAnsi="Arial" w:cs="Arial"/>
          <w:lang w:val="en-US"/>
        </w:rPr>
        <w:t xml:space="preserve"> %). Consequently, from ~300 ºC the Pt is assumed to be completely reduced. Moreover, by comparison of the TPR profiles of Pt/Al</w:t>
      </w:r>
      <w:r w:rsidRPr="001519D1">
        <w:rPr>
          <w:rFonts w:ascii="Arial" w:hAnsi="Arial" w:cs="Arial"/>
          <w:vertAlign w:val="subscript"/>
          <w:lang w:val="en-US"/>
        </w:rPr>
        <w:t>2</w:t>
      </w:r>
      <w:r w:rsidRPr="001519D1">
        <w:rPr>
          <w:rFonts w:ascii="Arial" w:hAnsi="Arial" w:cs="Arial"/>
          <w:lang w:val="en-US"/>
        </w:rPr>
        <w:t>O</w:t>
      </w:r>
      <w:r w:rsidRPr="001519D1">
        <w:rPr>
          <w:rFonts w:ascii="Arial" w:hAnsi="Arial" w:cs="Arial"/>
          <w:vertAlign w:val="subscript"/>
          <w:lang w:val="en-US"/>
        </w:rPr>
        <w:t>3</w:t>
      </w:r>
      <w:r w:rsidRPr="001519D1">
        <w:rPr>
          <w:rFonts w:ascii="Arial" w:hAnsi="Arial" w:cs="Arial"/>
          <w:lang w:val="en-US"/>
        </w:rPr>
        <w:t xml:space="preserve"> and CeO</w:t>
      </w:r>
      <w:r w:rsidRPr="001519D1">
        <w:rPr>
          <w:rFonts w:ascii="Arial" w:hAnsi="Arial" w:cs="Arial"/>
          <w:vertAlign w:val="subscript"/>
          <w:lang w:val="en-US"/>
        </w:rPr>
        <w:t>2</w:t>
      </w:r>
      <w:r w:rsidRPr="001519D1">
        <w:rPr>
          <w:rFonts w:ascii="Arial" w:hAnsi="Arial" w:cs="Arial"/>
          <w:lang w:val="en-US"/>
        </w:rPr>
        <w:t>/Al</w:t>
      </w:r>
      <w:r w:rsidRPr="001519D1">
        <w:rPr>
          <w:rFonts w:ascii="Arial" w:hAnsi="Arial" w:cs="Arial"/>
          <w:vertAlign w:val="subscript"/>
          <w:lang w:val="en-US"/>
        </w:rPr>
        <w:t>2</w:t>
      </w:r>
      <w:r w:rsidRPr="001519D1">
        <w:rPr>
          <w:rFonts w:ascii="Arial" w:hAnsi="Arial" w:cs="Arial"/>
          <w:lang w:val="en-US"/>
        </w:rPr>
        <w:t>O</w:t>
      </w:r>
      <w:r w:rsidRPr="001519D1">
        <w:rPr>
          <w:rFonts w:ascii="Arial" w:hAnsi="Arial" w:cs="Arial"/>
          <w:vertAlign w:val="subscript"/>
          <w:lang w:val="en-US"/>
        </w:rPr>
        <w:t>3</w:t>
      </w:r>
      <w:r w:rsidRPr="001519D1">
        <w:rPr>
          <w:rFonts w:ascii="Arial" w:hAnsi="Arial" w:cs="Arial"/>
          <w:lang w:val="en-US"/>
        </w:rPr>
        <w:t xml:space="preserve"> samples, the last peak at around 361 ºC should be associated to the reduction of ceria or to the hydrogenation of carbonaceous species. According to the TPR data and taking into account the calcination temperature of the PtCeAl sample, a reduction at 350 ºC in a 10 % of H</w:t>
      </w:r>
      <w:r w:rsidRPr="001519D1">
        <w:rPr>
          <w:rFonts w:ascii="Arial" w:hAnsi="Arial" w:cs="Arial"/>
          <w:vertAlign w:val="subscript"/>
          <w:lang w:val="en-US"/>
        </w:rPr>
        <w:t>2</w:t>
      </w:r>
      <w:r w:rsidRPr="001519D1">
        <w:rPr>
          <w:rFonts w:ascii="Arial" w:hAnsi="Arial" w:cs="Arial"/>
          <w:lang w:val="en-US"/>
        </w:rPr>
        <w:t>/N</w:t>
      </w:r>
      <w:r w:rsidRPr="001519D1">
        <w:rPr>
          <w:rFonts w:ascii="Arial" w:hAnsi="Arial" w:cs="Arial"/>
          <w:vertAlign w:val="subscript"/>
          <w:lang w:val="en-US"/>
        </w:rPr>
        <w:t>2</w:t>
      </w:r>
      <w:r w:rsidRPr="001519D1">
        <w:rPr>
          <w:rFonts w:ascii="Arial" w:hAnsi="Arial" w:cs="Arial"/>
          <w:lang w:val="en-US"/>
        </w:rPr>
        <w:t xml:space="preserve"> flow for 30 min was selected as the catalyst activation step to completely reduce the Pt particles and to avoid high calcination temperatures that favor the particle sintering.</w:t>
      </w:r>
    </w:p>
    <w:p w14:paraId="2C8D27AD" w14:textId="77777777" w:rsidR="009821CA" w:rsidRPr="001519D1" w:rsidRDefault="009821CA" w:rsidP="009821CA">
      <w:pPr>
        <w:spacing w:after="0" w:line="360" w:lineRule="auto"/>
        <w:rPr>
          <w:rFonts w:ascii="Arial" w:hAnsi="Arial" w:cs="Arial"/>
          <w:lang w:val="en-US"/>
        </w:rPr>
      </w:pPr>
    </w:p>
    <w:p w14:paraId="08C9F0FE" w14:textId="1B57924B" w:rsidR="009821CA" w:rsidRPr="001519D1" w:rsidRDefault="009821CA" w:rsidP="009821CA">
      <w:pPr>
        <w:spacing w:after="0" w:line="360" w:lineRule="auto"/>
        <w:rPr>
          <w:rFonts w:ascii="Arial" w:hAnsi="Arial" w:cs="Arial"/>
          <w:lang w:val="en-US"/>
        </w:rPr>
      </w:pPr>
      <w:r w:rsidRPr="001519D1">
        <w:rPr>
          <w:rFonts w:ascii="Arial" w:hAnsi="Arial" w:cs="Arial"/>
          <w:lang w:val="en-US"/>
        </w:rPr>
        <w:t>On the other side, not surprisingly the H</w:t>
      </w:r>
      <w:r w:rsidRPr="001519D1">
        <w:rPr>
          <w:rFonts w:ascii="Arial" w:hAnsi="Arial" w:cs="Arial"/>
          <w:vertAlign w:val="subscript"/>
          <w:lang w:val="en-US"/>
        </w:rPr>
        <w:t>2</w:t>
      </w:r>
      <w:r w:rsidRPr="001519D1">
        <w:rPr>
          <w:rFonts w:ascii="Arial" w:hAnsi="Arial" w:cs="Arial"/>
          <w:lang w:val="en-US"/>
        </w:rPr>
        <w:t>-TPR profile for the bare ZrEu sample does not show any reduction process. However, the introduction of reducible Mo atoms in these materials (ZrEuMo_x) exhibit two well defined reduction processes around 300 and 650 ºC (Figure 9b). According to several authors</w:t>
      </w:r>
      <w:r w:rsidR="006D48A6" w:rsidRPr="001519D1">
        <w:rPr>
          <w:rFonts w:ascii="Arial" w:hAnsi="Arial" w:cs="Arial"/>
          <w:lang w:val="en-US"/>
        </w:rPr>
        <w:t xml:space="preserve"> </w:t>
      </w:r>
      <w:r w:rsidR="006D48A6"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"10.1016/j.jcat.2004.04.028", "ISBN" : "9140271609", "ISSN" : "00219517", "abstract" : "MoO3/ZrO2 catalysts with different MoO3 loadings (2-12 wt%) were prepared by the wet impregnation method. These catalysts were characterized by various techniques, such as X-ray diffraction (XRD), temperature-programmed reduction (TPR), laser Raman spectroscopy (LRS), X-ray photoelectron spectroscopy (XPS), and temperature-programmed desorption of NH3 and the catalytic properties were evaluated for vapor-phase ammoxidation of toluene to benzonitrile. XRD patterns show the presence of crystalline MoO3 peaks above 6.6 wt% MoO3, which corresponds to the theoretical monolayer loading of MoO3 on the zirconia used in the present study. The TPR suggests that reduction of the catalysts occurs in two stages and indicates that the reducibility of the catalysts increases with increase in MoO3 loading up to 6.6 wt%. The acidity of the catalysts was also found to increase up to 6.6 wt% of molybdena loading and it does not increase much at higher loadings. Raman results show that the surface molybdate species are present in low-loading samples, while crystalline MoO3 bands are observed from 9 wt% of MoO3 and above loadings. XPS spectra showed that molybdenum was present at Mo 6- on all fresh samples. The Mo/Zr atomic ratio shows that the dispersion of molybdena is high below 6.6 wt% MoO3 and dispersion decreases at higher molybdena loadings. The catalytic activity of the catalysts during ammoxidation of toluene was found to increase with loading up to 6.6 wt% and did not change appreciably beyond this loading. ?? 2004 Elsevier Inc. All rights reserved.", "author" : [ { "dropping-particle" : "", "family" : "Chary", "given" : "Komandur V.R.", "non-dropping-particle" : "", "parse-names" : false, "suffix" : "" }, { "dropping-particle" : "", "family" : "Reddy", "given" : "Kondakindi Rajender", "non-dropping-particle" : "", "parse-names" : false, "suffix" : "" }, { "dropping-particle" : "", "family" : "Kishan", "given" : "Gurram", "non-dropping-particle" : "", "parse-names" : false, "suffix" : "" }, { "dropping-particle" : "", "family" : "Niemantsverdriet", "given" : "J.W.", "non-dropping-particle" : "", "parse-names" : false, "suffix" : "" }, { "dropping-particle" : "", "family" : "Mestl", "given" : "Gerhard", "non-dropping-particle" : "", "parse-names" : false, "suffix" : "" } ], "container-title" : "Journal of Catalysis", "id" : "ITEM-1", "issue" : "2", "issued" : { "date-parts" : [ [ "2004" ] ] }, "page" : "283-291", "title" : "Structure and catalytic properties of molybdenum oxide catalysts supported on zirconia", "type" : "article-journal", "volume" : "226" }, "uris" : [ "http://www.mendeley.com/documents/?uuid=6b6bc34f-65ab-466d-bf4e-252a0df3266e" ] }, { "id" : "ITEM-2", "itemData" : { "ISBN" : "0444881980", "editor" : [ { "dropping-particle" : "", "family" : "Braithwaite", "given" : "E.R.", "non-dropping-particle" : "", "parse-names" : false, "suffix" : "" }, { "dropping-particle" : "", "family" : "Haber", "given" : "J.", "non-dropping-particle" : "", "parse-names" : false, "suffix" : "" } ], "id" : "ITEM-2", "issued" : { "date-parts" : [ [ "1994" ] ] }, "number-of-pages" : "662", "publisher" : "Elsevier Science B.V", "publisher-place" : "Amsterdam", "title" : "Molybdenum: An Outline of its Chemistry and Uses", "type" : "book" }, "uris" : [ "http://www.mendeley.com/documents/?uuid=3d3006c8-3445-4414-a538-f60ac1ded8e8" ] }, { "id" : "ITEM-3", "itemData" : { "author" : [ { "dropping-particle" : "", "family" : "Arnoldy", "given" : "P.", "non-dropping-particle" : "", "parse-names" : false, "suffix" : "" }, { "dropping-particle" : "", "family" : "Jonge", "given" : "J.C.M.", "non-dropping-particle" : "de", "parse-names" : false, "suffix" : "" }, { "dropping-particle" : "", "family" : "Moulijn", "given" : "J.A.", "non-dropping-particle" : "", "parse-names" : false, "suffix" : "" } ], "container-title" : "Journal of Physical Chemistry", "id" : "ITEM-3", "issue" : "21", "issued" : { "date-parts" : [ [ "1985" ] ] }, "page" : "4517-4526", "title" : "Temperature-Programmed Reduction of MoO3 and MoO2", "type" : "article-journal", "volume" : "89" }, "uris" : [ "http://www.mendeley.com/documents/?uuid=c02fdfc7-ee61-4c51-92de-5b8a5235c542" ] } ], "mendeley" : { "formattedCitation" : "[42,51,70]", "plainTextFormattedCitation" : "[42,51,70]", "previouslyFormattedCitation" : "[42,51,70]" }, "properties" : { "noteIndex" : 0 }, "schema" : "https://github.com/citation-style-language/schema/raw/master/csl-citation.json" }</w:instrText>
      </w:r>
      <w:r w:rsidR="006D48A6" w:rsidRPr="001519D1">
        <w:rPr>
          <w:rFonts w:ascii="Arial" w:hAnsi="Arial" w:cs="Arial"/>
          <w:lang w:val="en-US"/>
        </w:rPr>
        <w:fldChar w:fldCharType="separate"/>
      </w:r>
      <w:r w:rsidR="00C76F86" w:rsidRPr="001519D1">
        <w:rPr>
          <w:rFonts w:ascii="Arial" w:hAnsi="Arial" w:cs="Arial"/>
          <w:noProof/>
          <w:lang w:val="en-US"/>
        </w:rPr>
        <w:t>[42,51,70]</w:t>
      </w:r>
      <w:r w:rsidR="006D48A6" w:rsidRPr="001519D1">
        <w:rPr>
          <w:rFonts w:ascii="Arial" w:hAnsi="Arial" w:cs="Arial"/>
          <w:lang w:val="en-US"/>
        </w:rPr>
        <w:fldChar w:fldCharType="end"/>
      </w:r>
      <w:r w:rsidR="006D48A6" w:rsidRPr="001519D1">
        <w:rPr>
          <w:rFonts w:ascii="Arial" w:hAnsi="Arial" w:cs="Arial"/>
          <w:lang w:val="en-US"/>
        </w:rPr>
        <w:t>,</w:t>
      </w:r>
      <w:r w:rsidRPr="001519D1">
        <w:rPr>
          <w:rFonts w:ascii="Arial" w:hAnsi="Arial" w:cs="Arial"/>
          <w:lang w:val="en-US"/>
        </w:rPr>
        <w:t xml:space="preserve"> the reduction of MoO</w:t>
      </w:r>
      <w:r w:rsidRPr="001519D1">
        <w:rPr>
          <w:rFonts w:ascii="Arial" w:hAnsi="Arial" w:cs="Arial"/>
          <w:vertAlign w:val="subscript"/>
          <w:lang w:val="en-US"/>
        </w:rPr>
        <w:t>3</w:t>
      </w:r>
      <w:r w:rsidRPr="001519D1">
        <w:rPr>
          <w:rFonts w:ascii="Arial" w:hAnsi="Arial" w:cs="Arial"/>
          <w:lang w:val="en-US"/>
        </w:rPr>
        <w:t xml:space="preserve"> essentially happens in two steps (MoO</w:t>
      </w:r>
      <w:r w:rsidRPr="001519D1">
        <w:rPr>
          <w:rFonts w:ascii="Arial" w:hAnsi="Arial" w:cs="Arial"/>
          <w:vertAlign w:val="subscript"/>
          <w:lang w:val="en-US"/>
        </w:rPr>
        <w:t>3</w:t>
      </w:r>
      <w:r w:rsidRPr="001519D1">
        <w:rPr>
          <w:rFonts w:ascii="Arial" w:hAnsi="Arial" w:cs="Arial"/>
          <w:lang w:val="en-US"/>
        </w:rPr>
        <w:t xml:space="preserve"> → MoO</w:t>
      </w:r>
      <w:r w:rsidRPr="001519D1">
        <w:rPr>
          <w:rFonts w:ascii="Arial" w:hAnsi="Arial" w:cs="Arial"/>
          <w:vertAlign w:val="subscript"/>
          <w:lang w:val="en-US"/>
        </w:rPr>
        <w:t>2</w:t>
      </w:r>
      <w:r w:rsidRPr="001519D1">
        <w:rPr>
          <w:rFonts w:ascii="Arial" w:hAnsi="Arial" w:cs="Arial"/>
          <w:lang w:val="en-US"/>
        </w:rPr>
        <w:t xml:space="preserve"> and MoO</w:t>
      </w:r>
      <w:r w:rsidRPr="001519D1">
        <w:rPr>
          <w:rFonts w:ascii="Arial" w:hAnsi="Arial" w:cs="Arial"/>
          <w:vertAlign w:val="subscript"/>
          <w:lang w:val="en-US"/>
        </w:rPr>
        <w:t>2</w:t>
      </w:r>
      <w:r w:rsidRPr="001519D1">
        <w:rPr>
          <w:rFonts w:ascii="Arial" w:hAnsi="Arial" w:cs="Arial"/>
          <w:lang w:val="en-US"/>
        </w:rPr>
        <w:t xml:space="preserve"> → Mo), where shoulders or weaker peaks can appear according to intermediate phases like Mo</w:t>
      </w:r>
      <w:r w:rsidRPr="001519D1">
        <w:rPr>
          <w:rFonts w:ascii="Arial" w:hAnsi="Arial" w:cs="Arial"/>
          <w:vertAlign w:val="subscript"/>
          <w:lang w:val="en-US"/>
        </w:rPr>
        <w:t>4</w:t>
      </w:r>
      <w:r w:rsidRPr="001519D1">
        <w:rPr>
          <w:rFonts w:ascii="Arial" w:hAnsi="Arial" w:cs="Arial"/>
          <w:lang w:val="en-US"/>
        </w:rPr>
        <w:t>O</w:t>
      </w:r>
      <w:r w:rsidRPr="001519D1">
        <w:rPr>
          <w:rFonts w:ascii="Arial" w:hAnsi="Arial" w:cs="Arial"/>
          <w:vertAlign w:val="subscript"/>
          <w:lang w:val="en-US"/>
        </w:rPr>
        <w:t>11</w:t>
      </w:r>
      <w:r w:rsidRPr="001519D1">
        <w:rPr>
          <w:rFonts w:ascii="Arial" w:hAnsi="Arial" w:cs="Arial"/>
          <w:lang w:val="en-US"/>
        </w:rPr>
        <w:t>. The reduction process of bulk MoO</w:t>
      </w:r>
      <w:r w:rsidRPr="001519D1">
        <w:rPr>
          <w:rFonts w:ascii="Arial" w:hAnsi="Arial" w:cs="Arial"/>
          <w:vertAlign w:val="subscript"/>
          <w:lang w:val="en-US"/>
        </w:rPr>
        <w:t>3</w:t>
      </w:r>
      <w:r w:rsidRPr="001519D1">
        <w:rPr>
          <w:rFonts w:ascii="Arial" w:hAnsi="Arial" w:cs="Arial"/>
          <w:lang w:val="en-US"/>
        </w:rPr>
        <w:t xml:space="preserve"> normally starts over 600 ºC. However, the required temperature to achieve the reduction of molybdenum oxide can vary depending on the amount of water in the system, the heating rate, the sample amount or the calcination temperature in the sample preparation process</w:t>
      </w:r>
      <w:r w:rsidR="006D48A6" w:rsidRPr="001519D1">
        <w:rPr>
          <w:rFonts w:ascii="Arial" w:hAnsi="Arial" w:cs="Arial"/>
          <w:lang w:val="en-US"/>
        </w:rPr>
        <w:t xml:space="preserve"> </w:t>
      </w:r>
      <w:r w:rsidR="006D48A6"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"author" : [ { "dropping-particle" : "", "family" : "Arnoldy", "given" : "P.", "non-dropping-particle" : "", "parse-names" : false, "suffix" : "" }, { "dropping-particle" : "", "family" : "Jonge", "given" : "J.C.M.", "non-dropping-particle" : "de", "parse-names" : false, "suffix" : "" }, { "dropping-particle" : "", "family" : "Moulijn", "given" : "J.A.", "non-dropping-particle" : "", "parse-names" : false, "suffix" : "" } ], "container-title" : "Journal of Physical Chemistry", "id" : "ITEM-1", "issue" : "21", "issued" : { "date-parts" : [ [ "1985" ] ] }, "page" : "4517-4526", "title" : "Temperature-Programmed Reduction of MoO3 and MoO2", "type" : "article-journal", "volume" : "89" }, "uris" : [ "http://www.mendeley.com/documents/?uuid=c02fdfc7-ee61-4c51-92de-5b8a5235c542" ] } ], "mendeley" : { "formattedCitation" : "[70]", "plainTextFormattedCitation" : "[70]", "previouslyFormattedCitation" : "[70]" }, "properties" : { "noteIndex" : 0 }, "schema" : "https://github.com/citation-style-language/schema/raw/master/csl-citation.json" }</w:instrText>
      </w:r>
      <w:r w:rsidR="006D48A6" w:rsidRPr="001519D1">
        <w:rPr>
          <w:rFonts w:ascii="Arial" w:hAnsi="Arial" w:cs="Arial"/>
          <w:lang w:val="en-US"/>
        </w:rPr>
        <w:fldChar w:fldCharType="separate"/>
      </w:r>
      <w:r w:rsidR="00C76F86" w:rsidRPr="001519D1">
        <w:rPr>
          <w:rFonts w:ascii="Arial" w:hAnsi="Arial" w:cs="Arial"/>
          <w:noProof/>
          <w:lang w:val="en-US"/>
        </w:rPr>
        <w:t>[70]</w:t>
      </w:r>
      <w:r w:rsidR="006D48A6" w:rsidRPr="001519D1">
        <w:rPr>
          <w:rFonts w:ascii="Arial" w:hAnsi="Arial" w:cs="Arial"/>
          <w:lang w:val="en-US"/>
        </w:rPr>
        <w:fldChar w:fldCharType="end"/>
      </w:r>
      <w:r w:rsidR="006D48A6" w:rsidRPr="001519D1">
        <w:rPr>
          <w:rFonts w:ascii="Arial" w:hAnsi="Arial" w:cs="Arial"/>
          <w:lang w:val="en-US"/>
        </w:rPr>
        <w:t>.</w:t>
      </w:r>
      <w:r w:rsidRPr="001519D1">
        <w:rPr>
          <w:rFonts w:ascii="Arial" w:hAnsi="Arial" w:cs="Arial"/>
          <w:lang w:val="en-US"/>
        </w:rPr>
        <w:t xml:space="preserve"> Moreover, if the sample is a supported MoO</w:t>
      </w:r>
      <w:r w:rsidRPr="001519D1">
        <w:rPr>
          <w:rFonts w:ascii="Arial" w:hAnsi="Arial" w:cs="Arial"/>
          <w:vertAlign w:val="subscript"/>
          <w:lang w:val="en-US"/>
        </w:rPr>
        <w:t>3</w:t>
      </w:r>
      <w:r w:rsidRPr="001519D1">
        <w:rPr>
          <w:rFonts w:ascii="Arial" w:hAnsi="Arial" w:cs="Arial"/>
          <w:lang w:val="en-US"/>
        </w:rPr>
        <w:t xml:space="preserve"> instead of a bulk, other parameters like MoO</w:t>
      </w:r>
      <w:r w:rsidRPr="001519D1">
        <w:rPr>
          <w:rFonts w:ascii="Arial" w:hAnsi="Arial" w:cs="Arial"/>
          <w:vertAlign w:val="subscript"/>
          <w:lang w:val="en-US"/>
        </w:rPr>
        <w:t>3</w:t>
      </w:r>
      <w:r w:rsidRPr="001519D1">
        <w:rPr>
          <w:rFonts w:ascii="Arial" w:hAnsi="Arial" w:cs="Arial"/>
          <w:lang w:val="en-US"/>
        </w:rPr>
        <w:t xml:space="preserve">–support interaction or particle size also modify the reduction temperatures. For instance, Chary </w:t>
      </w:r>
      <w:r w:rsidRPr="001519D1">
        <w:rPr>
          <w:rFonts w:ascii="Arial" w:hAnsi="Arial" w:cs="Arial"/>
          <w:i/>
          <w:iCs/>
          <w:lang w:val="en-US"/>
        </w:rPr>
        <w:t>et al</w:t>
      </w:r>
      <w:r w:rsidRPr="001519D1">
        <w:rPr>
          <w:rFonts w:ascii="Arial" w:hAnsi="Arial" w:cs="Arial"/>
          <w:lang w:val="en-US"/>
        </w:rPr>
        <w:t>.</w:t>
      </w:r>
      <w:r w:rsidR="006D48A6" w:rsidRPr="001519D1">
        <w:rPr>
          <w:rFonts w:ascii="Arial" w:hAnsi="Arial" w:cs="Arial"/>
          <w:lang w:val="en-US"/>
        </w:rPr>
        <w:t xml:space="preserve"> </w:t>
      </w:r>
      <w:r w:rsidR="006D48A6"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"10.1016/j.jcat.2004.04.028", "ISBN" : "9140271609", "ISSN" : "00219517", "abstract" : "MoO3/ZrO2 catalysts with different MoO3 loadings (2-12 wt%) were prepared by the wet impregnation method. These catalysts were characterized by various techniques, such as X-ray diffraction (XRD), temperature-programmed reduction (TPR), laser Raman spectroscopy (LRS), X-ray photoelectron spectroscopy (XPS), and temperature-programmed desorption of NH3 and the catalytic properties were evaluated for vapor-phase ammoxidation of toluene to benzonitrile. XRD patterns show the presence of crystalline MoO3 peaks above 6.6 wt% MoO3, which corresponds to the theoretical monolayer loading of MoO3 on the zirconia used in the present study. The TPR suggests that reduction of the catalysts occurs in two stages and indicates that the reducibility of the catalysts increases with increase in MoO3 loading up to 6.6 wt%. The acidity of the catalysts was also found to increase up to 6.6 wt% of molybdena loading and it does not increase much at higher loadings. Raman results show that the surface molybdate species are present in low-loading samples, while crystalline MoO3 bands are observed from 9 wt% of MoO3 and above loadings. XPS spectra showed that molybdenum was present at Mo 6- on all fresh samples. The Mo/Zr atomic ratio shows that the dispersion of molybdena is high below 6.6 wt% MoO3 and dispersion decreases at higher molybdena loadings. The catalytic activity of the catalysts during ammoxidation of toluene was found to increase with loading up to 6.6 wt% and did not change appreciably beyond this loading. ?? 2004 Elsevier Inc. All rights reserved.", "author" : [ { "dropping-particle" : "", "family" : "Chary", "given" : "Komandur V.R.", "non-dropping-particle" : "", "parse-names" : false, "suffix" : "" }, { "dropping-particle" : "", "family" : "Reddy", "given" : "Kondakindi Rajender", "non-dropping-particle" : "", "parse-names" : false, "suffix" : "" }, { "dropping-particle" : "", "family" : "Kishan", "given" : "Gurram", "non-dropping-particle" : "", "parse-names" : false, "suffix" : "" }, { "dropping-particle" : "", "family" : "Niemantsverdriet", "given" : "J.W.", "non-dropping-particle" : "", "parse-names" : false, "suffix" : "" }, { "dropping-particle" : "", "family" : "Mestl", "given" : "Gerhard", "non-dropping-particle" : "", "parse-names" : false, "suffix" : "" } ], "container-title" : "Journal of Catalysis", "id" : "ITEM-1", "issue" : "2", "issued" : { "date-parts" : [ [ "2004" ] ] }, "page" : "283-291", "title" : "Structure and catalytic properties of molybdenum oxide catalysts supported on zirconia", "type" : "article-journal", "volume" : "226" }, "uris" : [ "http://www.mendeley.com/documents/?uuid=6b6bc34f-65ab-466d-bf4e-252a0df3266e" ] } ], "mendeley" : { "formattedCitation" : "[42]", "plainTextFormattedCitation" : "[42]", "previouslyFormattedCitation" : "[42]" }, "properties" : { "noteIndex" : 0 }, "schema" : "https://github.com/citation-style-language/schema/raw/master/csl-citation.json" }</w:instrText>
      </w:r>
      <w:r w:rsidR="006D48A6" w:rsidRPr="001519D1">
        <w:rPr>
          <w:rFonts w:ascii="Arial" w:hAnsi="Arial" w:cs="Arial"/>
          <w:lang w:val="en-US"/>
        </w:rPr>
        <w:fldChar w:fldCharType="separate"/>
      </w:r>
      <w:r w:rsidR="00C76F86" w:rsidRPr="001519D1">
        <w:rPr>
          <w:rFonts w:ascii="Arial" w:hAnsi="Arial" w:cs="Arial"/>
          <w:noProof/>
          <w:lang w:val="en-US"/>
        </w:rPr>
        <w:t>[42]</w:t>
      </w:r>
      <w:r w:rsidR="006D48A6" w:rsidRPr="001519D1">
        <w:rPr>
          <w:rFonts w:ascii="Arial" w:hAnsi="Arial" w:cs="Arial"/>
          <w:lang w:val="en-US"/>
        </w:rPr>
        <w:fldChar w:fldCharType="end"/>
      </w:r>
      <w:r w:rsidRPr="001519D1">
        <w:rPr>
          <w:rFonts w:ascii="Arial" w:hAnsi="Arial" w:cs="Arial"/>
          <w:lang w:val="en-US"/>
        </w:rPr>
        <w:t xml:space="preserve"> reported reduction temperatures as low as 400-420 ºC for the low-temperature peak of MoO</w:t>
      </w:r>
      <w:r w:rsidRPr="001519D1">
        <w:rPr>
          <w:rFonts w:ascii="Arial" w:hAnsi="Arial" w:cs="Arial"/>
          <w:vertAlign w:val="subscript"/>
          <w:lang w:val="en-US"/>
        </w:rPr>
        <w:t>3</w:t>
      </w:r>
      <w:r w:rsidRPr="001519D1">
        <w:rPr>
          <w:rFonts w:ascii="Arial" w:hAnsi="Arial" w:cs="Arial"/>
          <w:lang w:val="en-US"/>
        </w:rPr>
        <w:t>/ZrO</w:t>
      </w:r>
      <w:r w:rsidRPr="001519D1">
        <w:rPr>
          <w:rFonts w:ascii="Arial" w:hAnsi="Arial" w:cs="Arial"/>
          <w:vertAlign w:val="subscript"/>
          <w:lang w:val="en-US"/>
        </w:rPr>
        <w:t>2</w:t>
      </w:r>
      <w:r w:rsidRPr="001519D1">
        <w:rPr>
          <w:rFonts w:ascii="Arial" w:hAnsi="Arial" w:cs="Arial"/>
          <w:lang w:val="en-US"/>
        </w:rPr>
        <w:t xml:space="preserve"> samples while the high-temperature peak occurs at 800-940 ºC. The first reduction peak is assigned to the reduction of octahedral species ([Mo</w:t>
      </w:r>
      <w:r w:rsidRPr="001519D1">
        <w:rPr>
          <w:rFonts w:ascii="Arial" w:hAnsi="Arial" w:cs="Arial"/>
          <w:vertAlign w:val="subscript"/>
          <w:lang w:val="en-US"/>
        </w:rPr>
        <w:t>7</w:t>
      </w:r>
      <w:r w:rsidRPr="001519D1">
        <w:rPr>
          <w:rFonts w:ascii="Arial" w:hAnsi="Arial" w:cs="Arial"/>
          <w:lang w:val="en-US"/>
        </w:rPr>
        <w:t>O</w:t>
      </w:r>
      <w:r w:rsidRPr="001519D1">
        <w:rPr>
          <w:rFonts w:ascii="Arial" w:hAnsi="Arial" w:cs="Arial"/>
          <w:vertAlign w:val="subscript"/>
          <w:lang w:val="en-US"/>
        </w:rPr>
        <w:t>24</w:t>
      </w:r>
      <w:r w:rsidRPr="001519D1">
        <w:rPr>
          <w:rFonts w:ascii="Arial" w:hAnsi="Arial" w:cs="Arial"/>
          <w:lang w:val="en-US"/>
        </w:rPr>
        <w:t>]</w:t>
      </w:r>
      <w:r w:rsidRPr="001519D1">
        <w:rPr>
          <w:rFonts w:ascii="Arial" w:hAnsi="Arial" w:cs="Arial"/>
          <w:vertAlign w:val="superscript"/>
          <w:lang w:val="en-US"/>
        </w:rPr>
        <w:t>6-</w:t>
      </w:r>
      <w:r w:rsidRPr="001519D1">
        <w:rPr>
          <w:rFonts w:ascii="Arial" w:hAnsi="Arial" w:cs="Arial"/>
          <w:lang w:val="en-US"/>
        </w:rPr>
        <w:t xml:space="preserve"> and [Mo</w:t>
      </w:r>
      <w:r w:rsidRPr="001519D1">
        <w:rPr>
          <w:rFonts w:ascii="Arial" w:hAnsi="Arial" w:cs="Arial"/>
          <w:vertAlign w:val="subscript"/>
          <w:lang w:val="en-US"/>
        </w:rPr>
        <w:t>8</w:t>
      </w:r>
      <w:r w:rsidRPr="001519D1">
        <w:rPr>
          <w:rFonts w:ascii="Arial" w:hAnsi="Arial" w:cs="Arial"/>
          <w:lang w:val="en-US"/>
        </w:rPr>
        <w:t>O</w:t>
      </w:r>
      <w:r w:rsidRPr="001519D1">
        <w:rPr>
          <w:rFonts w:ascii="Arial" w:hAnsi="Arial" w:cs="Arial"/>
          <w:vertAlign w:val="subscript"/>
          <w:lang w:val="en-US"/>
        </w:rPr>
        <w:t>26</w:t>
      </w:r>
      <w:r w:rsidRPr="001519D1">
        <w:rPr>
          <w:rFonts w:ascii="Arial" w:hAnsi="Arial" w:cs="Arial"/>
          <w:lang w:val="en-US"/>
        </w:rPr>
        <w:t>]</w:t>
      </w:r>
      <w:r w:rsidRPr="001519D1">
        <w:rPr>
          <w:rFonts w:ascii="Arial" w:hAnsi="Arial" w:cs="Arial"/>
          <w:vertAlign w:val="superscript"/>
          <w:lang w:val="en-US"/>
        </w:rPr>
        <w:t>4-</w:t>
      </w:r>
      <w:r w:rsidRPr="001519D1">
        <w:rPr>
          <w:rFonts w:ascii="Arial" w:hAnsi="Arial" w:cs="Arial"/>
          <w:lang w:val="en-US"/>
        </w:rPr>
        <w:t xml:space="preserve"> clusters) and the high temperature one to the reduction of tetrahedral species more strongly bound to the support. In addition, they observed that the temperature at which both reduction processes develop shifted to lower temperatures on increasing the Mo content up to reaching the monolayer coverage. </w:t>
      </w:r>
      <w:r w:rsidR="009D3AE3" w:rsidRPr="001519D1">
        <w:rPr>
          <w:rFonts w:ascii="Arial" w:hAnsi="Arial" w:cs="Arial"/>
          <w:lang w:val="en-US"/>
        </w:rPr>
        <w:t xml:space="preserve">Besides, Ressler and co-workers </w:t>
      </w:r>
      <w:r w:rsidR="009D3AE3"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"10.1016/S0167-2738(01)00747-0", "ISSN" : "01672738", "abstract" : "The temperature-programmed reduction of molybdenum trioxide (MoO3) from 300 to 773 K in 50 vol.% hydrogen in He (105 Pa) at different heating rates (0.1, 0.2, and 5 K/min) was investigated by in situ X-ray diffraction (XRD) and X-ray absorption fine structure (XAFS). At heating rates of ???0.1 and ???0.2 K/min, the formation of the molybdenum bronze H0.34MoO3 was observed by in situ XRD in the early stage of the reduction of MoO3. At a heating rate of 5 K/min, the formation of a more disordered bronze (HxMoO3 with x???0.07) prior to the detection of the product phase MoO2 was observed by in situ XAFS. In both studies, the consumption of the bronze was found prior to the complete reduction of MoO3. A simplified mechanism for the temperature-programmed reduction of MoO3 in hydrogen is proposed that includes: (i) incorporation of H2 in the MoO3 bulk and formation of a more or less ordered bronze, (ii) consumption of the bronze and formation of nucleation site for MoO2, (iii) nucleation of MoO2 and nuclei growth. ?? 2001 Elsevier Science B.V.", "author" : [ { "dropping-particle" : "", "family" : "Ressler", "given" : "Thorsten", "non-dropping-particle" : "", "parse-names" : false, "suffix" : "" }, { "dropping-particle" : "", "family" : "Wienold", "given" : "Julia", "non-dropping-particle" : "", "parse-names" : false, "suffix" : "" }, { "dropping-particle" : "", "family" : "Jentoft", "given" : "Rolf E.", "non-dropping-particle" : "", "parse-names" : false, "suffix" : "" } ], "container-title" : "Solid State Ionics", "id" : "ITEM-1", "issued" : { "date-parts" : [ [ "2001" ] ] }, "page" : "243-252", "title" : "Formation of Bronzes during Temperature-programmed Reduction of MoO3 with Hydrogen - An In situ XRD and XAFS Study", "type" : "article-journal", "volume" : "141-142" }, "uris" : [ "http://www.mendeley.com/documents/?uuid=35e40a2d-4138-4f61-b1fc-a8d0c13096dd" ] } ], "mendeley" : { "formattedCitation" : "[71]", "plainTextFormattedCitation" : "[71]", "previouslyFormattedCitation" : "[71]" }, "properties" : { "noteIndex" : 0 }, "schema" : "https://github.com/citation-style-language/schema/raw/master/csl-citation.json" }</w:instrText>
      </w:r>
      <w:r w:rsidR="009D3AE3" w:rsidRPr="001519D1">
        <w:rPr>
          <w:rFonts w:ascii="Arial" w:hAnsi="Arial" w:cs="Arial"/>
          <w:lang w:val="en-US"/>
        </w:rPr>
        <w:fldChar w:fldCharType="separate"/>
      </w:r>
      <w:r w:rsidR="00C76F86" w:rsidRPr="001519D1">
        <w:rPr>
          <w:rFonts w:ascii="Arial" w:hAnsi="Arial" w:cs="Arial"/>
          <w:noProof/>
          <w:lang w:val="en-US"/>
        </w:rPr>
        <w:t>[71]</w:t>
      </w:r>
      <w:r w:rsidR="009D3AE3" w:rsidRPr="001519D1">
        <w:rPr>
          <w:rFonts w:ascii="Arial" w:hAnsi="Arial" w:cs="Arial"/>
          <w:lang w:val="en-US"/>
        </w:rPr>
        <w:fldChar w:fldCharType="end"/>
      </w:r>
      <w:r w:rsidR="009D3AE3" w:rsidRPr="001519D1">
        <w:rPr>
          <w:rFonts w:ascii="Arial" w:hAnsi="Arial" w:cs="Arial"/>
          <w:lang w:val="en-US"/>
        </w:rPr>
        <w:t xml:space="preserve"> reported the hydrogen is introduced in the Mo oxide structure forming bronzes over ~200 ºC forming H</w:t>
      </w:r>
      <w:r w:rsidR="009D3AE3" w:rsidRPr="001519D1">
        <w:rPr>
          <w:rFonts w:ascii="Arial" w:hAnsi="Arial" w:cs="Arial"/>
          <w:vertAlign w:val="subscript"/>
          <w:lang w:val="en-US"/>
        </w:rPr>
        <w:t>x</w:t>
      </w:r>
      <w:r w:rsidR="009D3AE3" w:rsidRPr="001519D1">
        <w:rPr>
          <w:rFonts w:ascii="Arial" w:hAnsi="Arial" w:cs="Arial"/>
          <w:lang w:val="en-US"/>
        </w:rPr>
        <w:t>MoO</w:t>
      </w:r>
      <w:r w:rsidR="009D3AE3" w:rsidRPr="001519D1">
        <w:rPr>
          <w:rFonts w:ascii="Arial" w:hAnsi="Arial" w:cs="Arial"/>
          <w:vertAlign w:val="subscript"/>
          <w:lang w:val="en-US"/>
        </w:rPr>
        <w:t>3</w:t>
      </w:r>
      <w:r w:rsidR="009D3AE3" w:rsidRPr="001519D1">
        <w:rPr>
          <w:rFonts w:ascii="Arial" w:hAnsi="Arial" w:cs="Arial"/>
          <w:lang w:val="en-US"/>
        </w:rPr>
        <w:t>. On increasing the temperature, from ~380 ºC, reduced nuclei MoO</w:t>
      </w:r>
      <w:r w:rsidR="009D3AE3" w:rsidRPr="001519D1">
        <w:rPr>
          <w:rFonts w:ascii="Arial" w:hAnsi="Arial" w:cs="Arial"/>
          <w:vertAlign w:val="subscript"/>
          <w:lang w:val="en-US"/>
        </w:rPr>
        <w:t>2</w:t>
      </w:r>
      <w:r w:rsidR="009D3AE3" w:rsidRPr="001519D1">
        <w:rPr>
          <w:rFonts w:ascii="Arial" w:hAnsi="Arial" w:cs="Arial"/>
          <w:lang w:val="en-US"/>
        </w:rPr>
        <w:t xml:space="preserve"> phases start to appear. Finally, for temperatures above ~450 ºC, the reduction of MoO</w:t>
      </w:r>
      <w:r w:rsidR="009D3AE3" w:rsidRPr="001519D1">
        <w:rPr>
          <w:rFonts w:ascii="Arial" w:hAnsi="Arial" w:cs="Arial"/>
          <w:vertAlign w:val="subscript"/>
          <w:lang w:val="en-US"/>
        </w:rPr>
        <w:t>3</w:t>
      </w:r>
      <w:r w:rsidR="009D3AE3" w:rsidRPr="001519D1">
        <w:rPr>
          <w:rFonts w:ascii="Arial" w:hAnsi="Arial" w:cs="Arial"/>
          <w:lang w:val="en-US"/>
        </w:rPr>
        <w:t xml:space="preserve"> to MoO</w:t>
      </w:r>
      <w:r w:rsidR="009D3AE3" w:rsidRPr="001519D1">
        <w:rPr>
          <w:rFonts w:ascii="Arial" w:hAnsi="Arial" w:cs="Arial"/>
          <w:vertAlign w:val="subscript"/>
          <w:lang w:val="en-US"/>
        </w:rPr>
        <w:t>2</w:t>
      </w:r>
      <w:r w:rsidR="009D3AE3" w:rsidRPr="001519D1">
        <w:rPr>
          <w:rFonts w:ascii="Arial" w:hAnsi="Arial" w:cs="Arial"/>
          <w:lang w:val="en-US"/>
        </w:rPr>
        <w:t xml:space="preserve"> is the main process, where formation of intermediate Mo</w:t>
      </w:r>
      <w:r w:rsidR="009D3AE3" w:rsidRPr="001519D1">
        <w:rPr>
          <w:rFonts w:ascii="Arial" w:hAnsi="Arial" w:cs="Arial"/>
          <w:vertAlign w:val="subscript"/>
          <w:lang w:val="en-US"/>
        </w:rPr>
        <w:t>4</w:t>
      </w:r>
      <w:r w:rsidR="009D3AE3" w:rsidRPr="001519D1">
        <w:rPr>
          <w:rFonts w:ascii="Arial" w:hAnsi="Arial" w:cs="Arial"/>
          <w:lang w:val="en-US"/>
        </w:rPr>
        <w:t>O</w:t>
      </w:r>
      <w:r w:rsidR="009D3AE3" w:rsidRPr="001519D1">
        <w:rPr>
          <w:rFonts w:ascii="Arial" w:hAnsi="Arial" w:cs="Arial"/>
          <w:vertAlign w:val="subscript"/>
          <w:lang w:val="en-US"/>
        </w:rPr>
        <w:t>11</w:t>
      </w:r>
      <w:r w:rsidR="009D3AE3" w:rsidRPr="001519D1">
        <w:rPr>
          <w:rFonts w:ascii="Arial" w:hAnsi="Arial" w:cs="Arial"/>
          <w:lang w:val="en-US"/>
        </w:rPr>
        <w:t xml:space="preserve"> phase is not discarded. According to these two works, t</w:t>
      </w:r>
      <w:r w:rsidRPr="001519D1">
        <w:rPr>
          <w:rFonts w:ascii="Arial" w:hAnsi="Arial" w:cs="Arial"/>
          <w:lang w:val="en-US"/>
        </w:rPr>
        <w:t xml:space="preserve">he observed behavior of ZrEuMo_x TPRs perfectly matches with that described by Chary </w:t>
      </w:r>
      <w:r w:rsidRPr="001519D1">
        <w:rPr>
          <w:rFonts w:ascii="Arial" w:hAnsi="Arial" w:cs="Arial"/>
          <w:i/>
          <w:iCs/>
          <w:lang w:val="en-US"/>
        </w:rPr>
        <w:t>et al</w:t>
      </w:r>
      <w:r w:rsidR="009D3AE3" w:rsidRPr="001519D1">
        <w:rPr>
          <w:rFonts w:ascii="Arial" w:hAnsi="Arial" w:cs="Arial"/>
          <w:lang w:val="en-US"/>
        </w:rPr>
        <w:t>.,</w:t>
      </w:r>
      <w:r w:rsidRPr="001519D1">
        <w:rPr>
          <w:rFonts w:ascii="Arial" w:hAnsi="Arial" w:cs="Arial"/>
          <w:lang w:val="en-US"/>
        </w:rPr>
        <w:t xml:space="preserve"> where a shift to lower temperatures is shown on increasing the Mo loading up to ZrEuMo_7, from which the amount of Mo oxide probably exceed</w:t>
      </w:r>
      <w:r w:rsidR="001D45E2" w:rsidRPr="001519D1">
        <w:rPr>
          <w:rFonts w:ascii="Arial" w:hAnsi="Arial" w:cs="Arial"/>
          <w:lang w:val="en-US"/>
        </w:rPr>
        <w:t>s</w:t>
      </w:r>
      <w:r w:rsidRPr="001519D1">
        <w:rPr>
          <w:rFonts w:ascii="Arial" w:hAnsi="Arial" w:cs="Arial"/>
          <w:lang w:val="en-US"/>
        </w:rPr>
        <w:t xml:space="preserve"> the monolayer formation at expense of octahedral species according to previously </w:t>
      </w:r>
      <w:r w:rsidRPr="001519D1">
        <w:rPr>
          <w:rFonts w:ascii="Arial" w:hAnsi="Arial" w:cs="Arial"/>
          <w:lang w:val="en-US"/>
        </w:rPr>
        <w:lastRenderedPageBreak/>
        <w:t>discussed data.</w:t>
      </w:r>
      <w:r w:rsidR="009D3AE3" w:rsidRPr="001519D1">
        <w:rPr>
          <w:rFonts w:ascii="Arial" w:hAnsi="Arial" w:cs="Arial"/>
          <w:lang w:val="en-US"/>
        </w:rPr>
        <w:t xml:space="preserve"> Moreover,</w:t>
      </w:r>
      <w:r w:rsidRPr="001519D1">
        <w:rPr>
          <w:rFonts w:ascii="Arial" w:hAnsi="Arial" w:cs="Arial"/>
          <w:lang w:val="en-US"/>
        </w:rPr>
        <w:t xml:space="preserve"> these ZrEuMo_x samples show the reduction proc</w:t>
      </w:r>
      <w:r w:rsidR="009D3AE3" w:rsidRPr="001519D1">
        <w:rPr>
          <w:rFonts w:ascii="Arial" w:hAnsi="Arial" w:cs="Arial"/>
          <w:lang w:val="en-US"/>
        </w:rPr>
        <w:t>esses even at lower temperatures, which</w:t>
      </w:r>
      <w:r w:rsidRPr="001519D1">
        <w:rPr>
          <w:rFonts w:ascii="Arial" w:hAnsi="Arial" w:cs="Arial"/>
          <w:lang w:val="en-US"/>
        </w:rPr>
        <w:t xml:space="preserve"> are in good agreement with those reported</w:t>
      </w:r>
      <w:r w:rsidR="009D3AE3" w:rsidRPr="001519D1">
        <w:rPr>
          <w:rFonts w:ascii="Arial" w:hAnsi="Arial" w:cs="Arial"/>
          <w:lang w:val="en-US"/>
        </w:rPr>
        <w:t xml:space="preserve"> b</w:t>
      </w:r>
      <w:r w:rsidRPr="001519D1">
        <w:rPr>
          <w:rFonts w:ascii="Arial" w:hAnsi="Arial" w:cs="Arial"/>
          <w:lang w:val="en-US"/>
        </w:rPr>
        <w:t xml:space="preserve">y </w:t>
      </w:r>
      <w:r w:rsidR="009D3AE3" w:rsidRPr="001519D1">
        <w:rPr>
          <w:rFonts w:ascii="Arial" w:hAnsi="Arial" w:cs="Arial"/>
          <w:lang w:val="en-US"/>
        </w:rPr>
        <w:t xml:space="preserve">Ressler </w:t>
      </w:r>
      <w:r w:rsidR="009D3AE3" w:rsidRPr="001519D1">
        <w:rPr>
          <w:rFonts w:ascii="Arial" w:hAnsi="Arial" w:cs="Arial"/>
          <w:i/>
          <w:lang w:val="en-US"/>
        </w:rPr>
        <w:t>et al</w:t>
      </w:r>
      <w:r w:rsidR="009D3AE3" w:rsidRPr="001519D1">
        <w:rPr>
          <w:rFonts w:ascii="Arial" w:hAnsi="Arial" w:cs="Arial"/>
          <w:lang w:val="en-US"/>
        </w:rPr>
        <w:t>.</w:t>
      </w:r>
      <w:r w:rsidRPr="001519D1">
        <w:rPr>
          <w:rFonts w:ascii="Arial" w:hAnsi="Arial" w:cs="Arial"/>
          <w:lang w:val="en-US"/>
        </w:rPr>
        <w:t xml:space="preserve"> </w:t>
      </w:r>
    </w:p>
    <w:p w14:paraId="462F05CF" w14:textId="77777777" w:rsidR="009821CA" w:rsidRPr="001519D1" w:rsidRDefault="009821CA" w:rsidP="009821CA">
      <w:pPr>
        <w:spacing w:after="0" w:line="360" w:lineRule="auto"/>
        <w:rPr>
          <w:rFonts w:ascii="Arial" w:hAnsi="Arial" w:cs="Arial"/>
          <w:lang w:val="en-US"/>
        </w:rPr>
      </w:pPr>
    </w:p>
    <w:p w14:paraId="14FEAAC2" w14:textId="77777777" w:rsidR="009821CA" w:rsidRPr="001519D1" w:rsidRDefault="009821CA" w:rsidP="009821CA">
      <w:pPr>
        <w:spacing w:after="0" w:line="360" w:lineRule="auto"/>
        <w:rPr>
          <w:rFonts w:ascii="Arial" w:hAnsi="Arial" w:cs="Arial"/>
          <w:lang w:val="en-US"/>
        </w:rPr>
      </w:pPr>
      <w:r w:rsidRPr="001519D1">
        <w:rPr>
          <w:rFonts w:ascii="Arial" w:hAnsi="Arial" w:cs="Arial"/>
          <w:lang w:val="en-US"/>
        </w:rPr>
        <w:t>The quantitative analysis of the TPR leads to a ratio of the areas A</w:t>
      </w:r>
      <w:r w:rsidRPr="001519D1">
        <w:rPr>
          <w:rFonts w:ascii="Arial" w:hAnsi="Arial" w:cs="Arial"/>
          <w:vertAlign w:val="subscript"/>
          <w:lang w:val="en-US"/>
        </w:rPr>
        <w:t>2</w:t>
      </w:r>
      <w:r w:rsidRPr="001519D1">
        <w:rPr>
          <w:rFonts w:ascii="Arial" w:hAnsi="Arial" w:cs="Arial"/>
          <w:lang w:val="en-US"/>
        </w:rPr>
        <w:t>/A</w:t>
      </w:r>
      <w:r w:rsidRPr="001519D1">
        <w:rPr>
          <w:rFonts w:ascii="Arial" w:hAnsi="Arial" w:cs="Arial"/>
          <w:vertAlign w:val="subscript"/>
          <w:lang w:val="en-US"/>
        </w:rPr>
        <w:t>1</w:t>
      </w:r>
      <w:r w:rsidRPr="001519D1">
        <w:rPr>
          <w:rFonts w:ascii="Arial" w:hAnsi="Arial" w:cs="Arial"/>
          <w:lang w:val="en-US"/>
        </w:rPr>
        <w:t xml:space="preserve"> (considering A</w:t>
      </w:r>
      <w:r w:rsidRPr="001519D1">
        <w:rPr>
          <w:rFonts w:ascii="Arial" w:hAnsi="Arial" w:cs="Arial"/>
          <w:vertAlign w:val="subscript"/>
          <w:lang w:val="en-US"/>
        </w:rPr>
        <w:t>1</w:t>
      </w:r>
      <w:r w:rsidRPr="001519D1">
        <w:rPr>
          <w:rFonts w:ascii="Arial" w:hAnsi="Arial" w:cs="Arial"/>
          <w:lang w:val="en-US"/>
        </w:rPr>
        <w:t xml:space="preserve"> the first reduction process at lower temperature and A</w:t>
      </w:r>
      <w:r w:rsidRPr="001519D1">
        <w:rPr>
          <w:rFonts w:ascii="Arial" w:hAnsi="Arial" w:cs="Arial"/>
          <w:vertAlign w:val="subscript"/>
          <w:lang w:val="en-US"/>
        </w:rPr>
        <w:t>2</w:t>
      </w:r>
      <w:r w:rsidRPr="001519D1">
        <w:rPr>
          <w:rFonts w:ascii="Arial" w:hAnsi="Arial" w:cs="Arial"/>
          <w:lang w:val="en-US"/>
        </w:rPr>
        <w:t xml:space="preserve"> the area of the second reduction peak) of 3.3, 3.1 and 3.1 for ZrEuMo_5, ZrEuMo_7 and ZrEuMo_10, respectively. However, no elemental proposed reduction steps (Equations 2 to 5 or 2 and 5) provide a H</w:t>
      </w:r>
      <w:r w:rsidRPr="001519D1">
        <w:rPr>
          <w:rFonts w:ascii="Arial" w:hAnsi="Arial" w:cs="Arial"/>
          <w:vertAlign w:val="subscript"/>
          <w:lang w:val="en-US"/>
        </w:rPr>
        <w:t>2</w:t>
      </w:r>
      <w:r w:rsidRPr="001519D1">
        <w:rPr>
          <w:rFonts w:ascii="Arial" w:hAnsi="Arial" w:cs="Arial"/>
          <w:lang w:val="en-US"/>
        </w:rPr>
        <w:t xml:space="preserve"> consumption ratio of 1:3 according to the calculated areas ratio:</w:t>
      </w:r>
    </w:p>
    <w:p w14:paraId="08E99A77" w14:textId="4491E8D1" w:rsidR="009821CA" w:rsidRPr="001519D1" w:rsidRDefault="009821CA" w:rsidP="009821CA">
      <w:pPr>
        <w:spacing w:after="0" w:line="360" w:lineRule="auto"/>
        <w:rPr>
          <w:rFonts w:ascii="Arial" w:hAnsi="Arial" w:cs="Arial"/>
          <w:lang w:val="en-US"/>
        </w:rPr>
      </w:pPr>
    </w:p>
    <w:p w14:paraId="2DDF69DA" w14:textId="77777777" w:rsidR="002945CE" w:rsidRPr="001519D1" w:rsidRDefault="002945CE" w:rsidP="002945CE">
      <w:pPr>
        <w:pStyle w:val="RSCB02ArticleText"/>
      </w:pPr>
    </w:p>
    <w:p w14:paraId="6EECA6F6" w14:textId="42D8A1C4" w:rsidR="002945CE" w:rsidRPr="001519D1" w:rsidRDefault="002945CE" w:rsidP="002945CE">
      <w:pPr>
        <w:pStyle w:val="RSCB02ArticleText"/>
        <w:spacing w:line="360" w:lineRule="auto"/>
      </w:pPr>
      <m:oMath>
        <m:r>
          <w:rPr>
            <w:rFonts w:ascii="Cambria Math" w:hAnsi="Cambria Math"/>
            <w:sz w:val="20"/>
            <w:szCs w:val="20"/>
          </w:rPr>
          <m:t>Mo</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lang w:val="en-US"/>
              </w:rPr>
              <m:t>3</m:t>
            </m:r>
          </m:sub>
        </m:sSub>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lang w:val="en-US"/>
              </w:rPr>
              <m:t>2</m:t>
            </m:r>
          </m:sub>
        </m:sSub>
        <m:r>
          <w:rPr>
            <w:rFonts w:ascii="Cambria Math" w:hAnsi="Cambria Math"/>
            <w:sz w:val="20"/>
            <w:szCs w:val="20"/>
            <w:lang w:val="en-US"/>
          </w:rPr>
          <m:t>→</m:t>
        </m:r>
        <m:r>
          <w:rPr>
            <w:rFonts w:ascii="Cambria Math" w:hAnsi="Cambria Math"/>
            <w:sz w:val="20"/>
            <w:szCs w:val="20"/>
          </w:rPr>
          <m:t>Mo</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lang w:val="en-US"/>
              </w:rPr>
              <m:t>2</m:t>
            </m:r>
          </m:sub>
        </m:sSub>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lang w:val="en-US"/>
              </w:rPr>
              <m:t>2</m:t>
            </m:r>
          </m:sub>
        </m:sSub>
        <m:r>
          <w:rPr>
            <w:rFonts w:ascii="Cambria Math" w:hAnsi="Cambria Math"/>
            <w:sz w:val="20"/>
            <w:szCs w:val="20"/>
          </w:rPr>
          <m:t>O</m:t>
        </m:r>
      </m:oMath>
      <w:r w:rsidRPr="001519D1">
        <w:t xml:space="preserve"> </w:t>
      </w:r>
      <w:r w:rsidRPr="001519D1">
        <w:rPr>
          <w:rFonts w:ascii="Arial" w:hAnsi="Arial" w:cs="Arial"/>
          <w:sz w:val="22"/>
          <w:szCs w:val="22"/>
        </w:rPr>
        <w:t xml:space="preserve">                            </w:t>
      </w:r>
      <w:r w:rsidRPr="001519D1">
        <w:rPr>
          <w:rFonts w:ascii="Arial" w:hAnsi="Arial" w:cs="Arial"/>
          <w:sz w:val="22"/>
          <w:szCs w:val="22"/>
        </w:rPr>
        <w:tab/>
      </w:r>
      <w:r w:rsidRPr="001519D1">
        <w:rPr>
          <w:rFonts w:ascii="Arial" w:hAnsi="Arial" w:cs="Arial"/>
          <w:sz w:val="22"/>
          <w:szCs w:val="22"/>
        </w:rPr>
        <w:tab/>
        <w:t xml:space="preserve">   </w:t>
      </w:r>
      <w:r w:rsidRPr="001519D1">
        <w:rPr>
          <w:rFonts w:ascii="Arial" w:hAnsi="Arial" w:cs="Arial"/>
          <w:sz w:val="22"/>
          <w:szCs w:val="22"/>
        </w:rPr>
        <w:tab/>
      </w:r>
      <w:r w:rsidRPr="001519D1">
        <w:rPr>
          <w:rFonts w:ascii="Arial" w:hAnsi="Arial" w:cs="Arial"/>
          <w:sz w:val="22"/>
          <w:szCs w:val="22"/>
        </w:rPr>
        <w:tab/>
      </w:r>
      <w:r w:rsidRPr="001519D1">
        <w:rPr>
          <w:rFonts w:ascii="Arial" w:hAnsi="Arial" w:cs="Arial"/>
          <w:sz w:val="22"/>
          <w:szCs w:val="22"/>
        </w:rPr>
        <w:tab/>
        <w:t xml:space="preserve">              </w:t>
      </w:r>
      <w:r w:rsidRPr="001519D1">
        <w:rPr>
          <w:rFonts w:ascii="Arial" w:hAnsi="Arial" w:cs="Arial"/>
          <w:sz w:val="22"/>
          <w:szCs w:val="22"/>
          <w:vertAlign w:val="subscript"/>
        </w:rPr>
        <w:t xml:space="preserve"> </w:t>
      </w:r>
      <w:r w:rsidRPr="001519D1">
        <w:rPr>
          <w:rFonts w:ascii="Arial" w:hAnsi="Arial" w:cs="Arial"/>
          <w:sz w:val="22"/>
          <w:szCs w:val="22"/>
        </w:rPr>
        <w:t>[2]</w:t>
      </w:r>
    </w:p>
    <w:p w14:paraId="07CE123F" w14:textId="63A0DE23" w:rsidR="002945CE" w:rsidRPr="001519D1" w:rsidRDefault="002945CE" w:rsidP="002945CE">
      <w:pPr>
        <w:pStyle w:val="RSCB02ArticleText"/>
        <w:spacing w:line="360" w:lineRule="auto"/>
      </w:pPr>
      <m:oMath>
        <m:r>
          <w:rPr>
            <w:rFonts w:ascii="Cambria Math" w:hAnsi="Cambria Math"/>
            <w:sz w:val="20"/>
            <w:szCs w:val="20"/>
          </w:rPr>
          <m:t>Mo</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lang w:val="en-US"/>
              </w:rPr>
              <m:t>3</m:t>
            </m:r>
          </m:sub>
        </m:sSub>
        <m:r>
          <w:rPr>
            <w:rFonts w:ascii="Cambria Math" w:hAnsi="Cambria Math"/>
            <w:sz w:val="20"/>
            <w:szCs w:val="20"/>
            <w:lang w:val="en-US"/>
          </w:rPr>
          <m:t>+</m:t>
        </m:r>
        <m:sSub>
          <m:sSubPr>
            <m:ctrlPr>
              <w:rPr>
                <w:rFonts w:ascii="Cambria Math" w:hAnsi="Cambria Math"/>
                <w:i/>
                <w:sz w:val="20"/>
                <w:szCs w:val="20"/>
              </w:rPr>
            </m:ctrlPr>
          </m:sSubPr>
          <m:e>
            <m:f>
              <m:fPr>
                <m:ctrlPr>
                  <w:rPr>
                    <w:rFonts w:ascii="Cambria Math" w:hAnsi="Cambria Math"/>
                    <w:i/>
                    <w:sz w:val="20"/>
                    <w:szCs w:val="20"/>
                  </w:rPr>
                </m:ctrlPr>
              </m:fPr>
              <m:num>
                <m:r>
                  <w:rPr>
                    <w:rFonts w:ascii="Cambria Math" w:hAnsi="Cambria Math"/>
                    <w:sz w:val="20"/>
                    <w:szCs w:val="20"/>
                    <w:lang w:val="en-US"/>
                  </w:rPr>
                  <m:t>1</m:t>
                </m:r>
              </m:num>
              <m:den>
                <m:r>
                  <w:rPr>
                    <w:rFonts w:ascii="Cambria Math" w:hAnsi="Cambria Math"/>
                    <w:sz w:val="20"/>
                    <w:szCs w:val="20"/>
                    <w:lang w:val="en-US"/>
                  </w:rPr>
                  <m:t>4</m:t>
                </m:r>
              </m:den>
            </m:f>
            <m:r>
              <w:rPr>
                <w:rFonts w:ascii="Cambria Math" w:hAnsi="Cambria Math"/>
                <w:sz w:val="20"/>
                <w:szCs w:val="20"/>
              </w:rPr>
              <m:t>H</m:t>
            </m:r>
          </m:e>
          <m:sub>
            <m:r>
              <w:rPr>
                <w:rFonts w:ascii="Cambria Math" w:hAnsi="Cambria Math"/>
                <w:sz w:val="20"/>
                <w:szCs w:val="20"/>
                <w:lang w:val="en-US"/>
              </w:rPr>
              <m:t>2</m:t>
            </m:r>
          </m:sub>
        </m:sSub>
        <m:r>
          <w:rPr>
            <w:rFonts w:ascii="Cambria Math" w:hAnsi="Cambria Math"/>
            <w:sz w:val="20"/>
            <w:szCs w:val="20"/>
            <w:lang w:val="en-US"/>
          </w:rPr>
          <m:t>→</m:t>
        </m:r>
        <m:f>
          <m:fPr>
            <m:ctrlPr>
              <w:rPr>
                <w:rFonts w:ascii="Cambria Math" w:hAnsi="Cambria Math"/>
                <w:i/>
                <w:sz w:val="20"/>
                <w:szCs w:val="20"/>
              </w:rPr>
            </m:ctrlPr>
          </m:fPr>
          <m:num>
            <m:r>
              <w:rPr>
                <w:rFonts w:ascii="Cambria Math" w:hAnsi="Cambria Math"/>
                <w:sz w:val="20"/>
                <w:szCs w:val="20"/>
                <w:lang w:val="en-US"/>
              </w:rPr>
              <m:t>1</m:t>
            </m:r>
          </m:num>
          <m:den>
            <m:r>
              <w:rPr>
                <w:rFonts w:ascii="Cambria Math" w:hAnsi="Cambria Math"/>
                <w:sz w:val="20"/>
                <w:szCs w:val="20"/>
                <w:lang w:val="en-US"/>
              </w:rPr>
              <m:t>4</m:t>
            </m:r>
          </m:den>
        </m:f>
        <m:sSub>
          <m:sSubPr>
            <m:ctrlPr>
              <w:rPr>
                <w:rFonts w:ascii="Cambria Math" w:hAnsi="Cambria Math"/>
                <w:i/>
                <w:sz w:val="20"/>
                <w:szCs w:val="20"/>
              </w:rPr>
            </m:ctrlPr>
          </m:sSubPr>
          <m:e>
            <m:r>
              <w:rPr>
                <w:rFonts w:ascii="Cambria Math" w:hAnsi="Cambria Math"/>
                <w:sz w:val="20"/>
                <w:szCs w:val="20"/>
              </w:rPr>
              <m:t>Mo</m:t>
            </m:r>
          </m:e>
          <m:sub>
            <m:r>
              <w:rPr>
                <w:rFonts w:ascii="Cambria Math" w:hAnsi="Cambria Math"/>
                <w:sz w:val="20"/>
                <w:szCs w:val="20"/>
                <w:lang w:val="en-US"/>
              </w:rPr>
              <m:t>4</m:t>
            </m:r>
          </m:sub>
        </m:sSub>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lang w:val="en-US"/>
              </w:rPr>
              <m:t>11</m:t>
            </m:r>
          </m:sub>
        </m:sSub>
        <m:r>
          <w:rPr>
            <w:rFonts w:ascii="Cambria Math" w:hAnsi="Cambria Math"/>
            <w:sz w:val="20"/>
            <w:szCs w:val="20"/>
            <w:lang w:val="en-US"/>
          </w:rPr>
          <m:t>+</m:t>
        </m:r>
        <m:f>
          <m:fPr>
            <m:ctrlPr>
              <w:rPr>
                <w:rFonts w:ascii="Cambria Math" w:hAnsi="Cambria Math"/>
                <w:i/>
                <w:sz w:val="20"/>
                <w:szCs w:val="20"/>
              </w:rPr>
            </m:ctrlPr>
          </m:fPr>
          <m:num>
            <m:r>
              <w:rPr>
                <w:rFonts w:ascii="Cambria Math" w:hAnsi="Cambria Math"/>
                <w:sz w:val="20"/>
                <w:szCs w:val="20"/>
                <w:lang w:val="en-US"/>
              </w:rPr>
              <m:t>1</m:t>
            </m:r>
          </m:num>
          <m:den>
            <m:r>
              <w:rPr>
                <w:rFonts w:ascii="Cambria Math" w:hAnsi="Cambria Math"/>
                <w:sz w:val="20"/>
                <w:szCs w:val="20"/>
                <w:lang w:val="en-US"/>
              </w:rPr>
              <m:t>4</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lang w:val="en-US"/>
              </w:rPr>
              <m:t>2</m:t>
            </m:r>
          </m:sub>
        </m:sSub>
        <m:r>
          <w:rPr>
            <w:rFonts w:ascii="Cambria Math" w:hAnsi="Cambria Math"/>
            <w:sz w:val="20"/>
            <w:szCs w:val="20"/>
          </w:rPr>
          <m:t>O</m:t>
        </m:r>
      </m:oMath>
      <w:r w:rsidRPr="001519D1">
        <w:t xml:space="preserve"> </w:t>
      </w:r>
      <w:r w:rsidRPr="001519D1">
        <w:rPr>
          <w:rFonts w:ascii="Arial" w:hAnsi="Arial" w:cs="Arial"/>
          <w:sz w:val="22"/>
          <w:szCs w:val="22"/>
        </w:rPr>
        <w:t xml:space="preserve">       </w:t>
      </w:r>
      <w:r w:rsidRPr="001519D1">
        <w:rPr>
          <w:rFonts w:ascii="Arial" w:hAnsi="Arial" w:cs="Arial"/>
          <w:sz w:val="22"/>
          <w:szCs w:val="22"/>
        </w:rPr>
        <w:tab/>
      </w:r>
      <w:r w:rsidRPr="001519D1">
        <w:rPr>
          <w:rFonts w:ascii="Arial" w:hAnsi="Arial" w:cs="Arial"/>
          <w:sz w:val="22"/>
          <w:szCs w:val="22"/>
        </w:rPr>
        <w:tab/>
      </w:r>
      <w:r w:rsidRPr="001519D1">
        <w:rPr>
          <w:rFonts w:ascii="Arial" w:hAnsi="Arial" w:cs="Arial"/>
          <w:sz w:val="22"/>
          <w:szCs w:val="22"/>
        </w:rPr>
        <w:tab/>
      </w:r>
      <w:r w:rsidRPr="001519D1">
        <w:rPr>
          <w:rFonts w:ascii="Arial" w:hAnsi="Arial" w:cs="Arial"/>
          <w:sz w:val="22"/>
          <w:szCs w:val="22"/>
        </w:rPr>
        <w:tab/>
      </w:r>
      <w:r w:rsidRPr="001519D1">
        <w:rPr>
          <w:rFonts w:ascii="Arial" w:hAnsi="Arial" w:cs="Arial"/>
          <w:sz w:val="22"/>
          <w:szCs w:val="22"/>
        </w:rPr>
        <w:tab/>
        <w:t xml:space="preserve">     </w:t>
      </w:r>
      <w:r w:rsidRPr="001519D1">
        <w:rPr>
          <w:rFonts w:ascii="Arial" w:hAnsi="Arial" w:cs="Arial"/>
          <w:sz w:val="22"/>
          <w:szCs w:val="22"/>
        </w:rPr>
        <w:tab/>
      </w:r>
      <w:r w:rsidRPr="001519D1">
        <w:rPr>
          <w:rFonts w:ascii="Arial" w:hAnsi="Arial" w:cs="Arial"/>
          <w:sz w:val="22"/>
          <w:szCs w:val="22"/>
        </w:rPr>
        <w:tab/>
      </w:r>
      <w:r w:rsidRPr="001519D1">
        <w:rPr>
          <w:rFonts w:ascii="Arial" w:hAnsi="Arial" w:cs="Arial"/>
          <w:sz w:val="22"/>
          <w:szCs w:val="22"/>
        </w:rPr>
        <w:tab/>
        <w:t xml:space="preserve">    [3]</w:t>
      </w:r>
    </w:p>
    <w:p w14:paraId="079EBD80" w14:textId="4F668333" w:rsidR="002945CE" w:rsidRPr="001519D1" w:rsidRDefault="00DC3A9F" w:rsidP="002945CE">
      <w:pPr>
        <w:pStyle w:val="RSCB02ArticleText"/>
        <w:spacing w:line="360" w:lineRule="auto"/>
        <w:rPr>
          <w:rFonts w:ascii="Arial" w:hAnsi="Arial" w:cs="Arial"/>
          <w:sz w:val="22"/>
          <w:szCs w:val="22"/>
        </w:rPr>
      </w:pPr>
      <m:oMath>
        <m:f>
          <m:fPr>
            <m:ctrlPr>
              <w:rPr>
                <w:rFonts w:ascii="Cambria Math" w:eastAsiaTheme="minorEastAsia" w:hAnsi="Cambria Math"/>
                <w:i/>
                <w:sz w:val="20"/>
                <w:szCs w:val="20"/>
              </w:rPr>
            </m:ctrlPr>
          </m:fPr>
          <m:num>
            <m:r>
              <w:rPr>
                <w:rFonts w:ascii="Cambria Math" w:eastAsiaTheme="minorEastAsia" w:hAnsi="Cambria Math"/>
                <w:sz w:val="20"/>
                <w:szCs w:val="20"/>
                <w:lang w:val="en-US"/>
              </w:rPr>
              <m:t>1</m:t>
            </m:r>
          </m:num>
          <m:den>
            <m:r>
              <w:rPr>
                <w:rFonts w:ascii="Cambria Math" w:eastAsiaTheme="minorEastAsia" w:hAnsi="Cambria Math"/>
                <w:sz w:val="20"/>
                <w:szCs w:val="20"/>
                <w:lang w:val="en-US"/>
              </w:rPr>
              <m:t>4</m:t>
            </m:r>
          </m:den>
        </m:f>
        <m:sSub>
          <m:sSubPr>
            <m:ctrlPr>
              <w:rPr>
                <w:rFonts w:ascii="Cambria Math" w:hAnsi="Cambria Math"/>
                <w:i/>
                <w:sz w:val="20"/>
                <w:szCs w:val="20"/>
              </w:rPr>
            </m:ctrlPr>
          </m:sSubPr>
          <m:e>
            <m:r>
              <w:rPr>
                <w:rFonts w:ascii="Cambria Math" w:hAnsi="Cambria Math"/>
                <w:sz w:val="20"/>
                <w:szCs w:val="20"/>
              </w:rPr>
              <m:t>Mo</m:t>
            </m:r>
          </m:e>
          <m:sub>
            <m:r>
              <w:rPr>
                <w:rFonts w:ascii="Cambria Math" w:hAnsi="Cambria Math"/>
                <w:sz w:val="20"/>
                <w:szCs w:val="20"/>
                <w:lang w:val="en-US"/>
              </w:rPr>
              <m:t>4</m:t>
            </m:r>
          </m:sub>
        </m:sSub>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lang w:val="en-US"/>
              </w:rPr>
              <m:t>11</m:t>
            </m:r>
          </m:sub>
        </m:sSub>
        <m:r>
          <w:rPr>
            <w:rFonts w:ascii="Cambria Math" w:hAnsi="Cambria Math"/>
            <w:sz w:val="20"/>
            <w:szCs w:val="20"/>
            <w:lang w:val="en-US"/>
          </w:rPr>
          <m:t>+</m:t>
        </m:r>
        <m:sSub>
          <m:sSubPr>
            <m:ctrlPr>
              <w:rPr>
                <w:rFonts w:ascii="Cambria Math" w:hAnsi="Cambria Math"/>
                <w:i/>
                <w:sz w:val="20"/>
                <w:szCs w:val="20"/>
              </w:rPr>
            </m:ctrlPr>
          </m:sSubPr>
          <m:e>
            <m:f>
              <m:fPr>
                <m:ctrlPr>
                  <w:rPr>
                    <w:rFonts w:ascii="Cambria Math" w:hAnsi="Cambria Math"/>
                    <w:i/>
                    <w:sz w:val="20"/>
                    <w:szCs w:val="20"/>
                  </w:rPr>
                </m:ctrlPr>
              </m:fPr>
              <m:num>
                <m:r>
                  <w:rPr>
                    <w:rFonts w:ascii="Cambria Math" w:hAnsi="Cambria Math"/>
                    <w:sz w:val="20"/>
                    <w:szCs w:val="20"/>
                    <w:lang w:val="en-US"/>
                  </w:rPr>
                  <m:t>3</m:t>
                </m:r>
              </m:num>
              <m:den>
                <m:r>
                  <w:rPr>
                    <w:rFonts w:ascii="Cambria Math" w:hAnsi="Cambria Math"/>
                    <w:sz w:val="20"/>
                    <w:szCs w:val="20"/>
                    <w:lang w:val="en-US"/>
                  </w:rPr>
                  <m:t>4</m:t>
                </m:r>
              </m:den>
            </m:f>
            <m:r>
              <w:rPr>
                <w:rFonts w:ascii="Cambria Math" w:hAnsi="Cambria Math"/>
                <w:sz w:val="20"/>
                <w:szCs w:val="20"/>
              </w:rPr>
              <m:t>H</m:t>
            </m:r>
          </m:e>
          <m:sub>
            <m:r>
              <w:rPr>
                <w:rFonts w:ascii="Cambria Math" w:hAnsi="Cambria Math"/>
                <w:sz w:val="20"/>
                <w:szCs w:val="20"/>
                <w:lang w:val="en-US"/>
              </w:rPr>
              <m:t>2</m:t>
            </m:r>
          </m:sub>
        </m:sSub>
        <m:r>
          <w:rPr>
            <w:rFonts w:ascii="Cambria Math" w:hAnsi="Cambria Math"/>
            <w:sz w:val="20"/>
            <w:szCs w:val="20"/>
            <w:lang w:val="en-US"/>
          </w:rPr>
          <m:t>→</m:t>
        </m:r>
        <m:r>
          <w:rPr>
            <w:rFonts w:ascii="Cambria Math" w:hAnsi="Cambria Math"/>
            <w:sz w:val="20"/>
            <w:szCs w:val="20"/>
          </w:rPr>
          <m:t>Mo</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lang w:val="en-US"/>
              </w:rPr>
              <m:t>2</m:t>
            </m:r>
          </m:sub>
        </m:sSub>
        <m:r>
          <w:rPr>
            <w:rFonts w:ascii="Cambria Math" w:hAnsi="Cambria Math"/>
            <w:sz w:val="20"/>
            <w:szCs w:val="20"/>
            <w:lang w:val="en-US"/>
          </w:rPr>
          <m:t>+</m:t>
        </m:r>
        <m:f>
          <m:fPr>
            <m:ctrlPr>
              <w:rPr>
                <w:rFonts w:ascii="Cambria Math" w:hAnsi="Cambria Math"/>
                <w:i/>
                <w:sz w:val="20"/>
                <w:szCs w:val="20"/>
              </w:rPr>
            </m:ctrlPr>
          </m:fPr>
          <m:num>
            <m:r>
              <w:rPr>
                <w:rFonts w:ascii="Cambria Math" w:hAnsi="Cambria Math"/>
                <w:sz w:val="20"/>
                <w:szCs w:val="20"/>
                <w:lang w:val="en-US"/>
              </w:rPr>
              <m:t>3</m:t>
            </m:r>
          </m:num>
          <m:den>
            <m:r>
              <w:rPr>
                <w:rFonts w:ascii="Cambria Math" w:hAnsi="Cambria Math"/>
                <w:sz w:val="20"/>
                <w:szCs w:val="20"/>
                <w:lang w:val="en-US"/>
              </w:rPr>
              <m:t>4</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lang w:val="en-US"/>
              </w:rPr>
              <m:t>2</m:t>
            </m:r>
          </m:sub>
        </m:sSub>
        <m:r>
          <w:rPr>
            <w:rFonts w:ascii="Cambria Math" w:hAnsi="Cambria Math"/>
            <w:sz w:val="20"/>
            <w:szCs w:val="20"/>
          </w:rPr>
          <m:t>O</m:t>
        </m:r>
      </m:oMath>
      <w:r w:rsidR="002945CE" w:rsidRPr="001519D1">
        <w:rPr>
          <w:rFonts w:ascii="Arial" w:hAnsi="Arial" w:cs="Arial"/>
          <w:sz w:val="22"/>
          <w:szCs w:val="22"/>
        </w:rPr>
        <w:t xml:space="preserve">         </w:t>
      </w:r>
      <w:r w:rsidR="002945CE" w:rsidRPr="001519D1">
        <w:rPr>
          <w:rFonts w:ascii="Arial" w:hAnsi="Arial" w:cs="Arial"/>
          <w:sz w:val="22"/>
          <w:szCs w:val="22"/>
        </w:rPr>
        <w:tab/>
      </w:r>
      <w:r w:rsidR="002945CE" w:rsidRPr="001519D1">
        <w:rPr>
          <w:rFonts w:ascii="Arial" w:hAnsi="Arial" w:cs="Arial"/>
          <w:sz w:val="22"/>
          <w:szCs w:val="22"/>
        </w:rPr>
        <w:tab/>
      </w:r>
      <w:r w:rsidR="002945CE" w:rsidRPr="001519D1">
        <w:rPr>
          <w:rFonts w:ascii="Arial" w:hAnsi="Arial" w:cs="Arial"/>
          <w:sz w:val="22"/>
          <w:szCs w:val="22"/>
        </w:rPr>
        <w:tab/>
        <w:t xml:space="preserve">           </w:t>
      </w:r>
      <w:r w:rsidR="002945CE" w:rsidRPr="001519D1">
        <w:rPr>
          <w:rFonts w:ascii="Arial" w:hAnsi="Arial" w:cs="Arial"/>
          <w:sz w:val="22"/>
          <w:szCs w:val="22"/>
        </w:rPr>
        <w:tab/>
      </w:r>
      <w:r w:rsidR="002945CE" w:rsidRPr="001519D1">
        <w:rPr>
          <w:rFonts w:ascii="Arial" w:hAnsi="Arial" w:cs="Arial"/>
          <w:sz w:val="22"/>
          <w:szCs w:val="22"/>
        </w:rPr>
        <w:tab/>
      </w:r>
      <w:r w:rsidR="002945CE" w:rsidRPr="001519D1">
        <w:rPr>
          <w:rFonts w:ascii="Arial" w:hAnsi="Arial" w:cs="Arial"/>
          <w:sz w:val="22"/>
          <w:szCs w:val="22"/>
        </w:rPr>
        <w:tab/>
        <w:t xml:space="preserve">    [4]</w:t>
      </w:r>
    </w:p>
    <w:p w14:paraId="6FD89D55" w14:textId="281BEEE5" w:rsidR="002945CE" w:rsidRPr="001519D1" w:rsidRDefault="002945CE" w:rsidP="002945CE">
      <w:pPr>
        <w:pStyle w:val="RSCB02ArticleText"/>
        <w:spacing w:line="360" w:lineRule="auto"/>
      </w:pPr>
      <m:oMath>
        <m:r>
          <w:rPr>
            <w:rFonts w:ascii="Cambria Math" w:hAnsi="Cambria Math"/>
            <w:sz w:val="20"/>
            <w:szCs w:val="20"/>
          </w:rPr>
          <m:t>Mo</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lang w:val="en-US"/>
              </w:rPr>
              <m:t>2</m:t>
            </m:r>
          </m:sub>
        </m:sSub>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lang w:val="en-US"/>
              </w:rPr>
              <m:t>2</m:t>
            </m:r>
            <m:r>
              <w:rPr>
                <w:rFonts w:ascii="Cambria Math" w:hAnsi="Cambria Math"/>
                <w:sz w:val="20"/>
                <w:szCs w:val="20"/>
              </w:rPr>
              <m:t>H</m:t>
            </m:r>
          </m:e>
          <m:sub>
            <m:r>
              <w:rPr>
                <w:rFonts w:ascii="Cambria Math" w:hAnsi="Cambria Math"/>
                <w:sz w:val="20"/>
                <w:szCs w:val="20"/>
                <w:lang w:val="en-US"/>
              </w:rPr>
              <m:t>2</m:t>
            </m:r>
          </m:sub>
        </m:sSub>
        <m:r>
          <w:rPr>
            <w:rFonts w:ascii="Cambria Math" w:hAnsi="Cambria Math"/>
            <w:sz w:val="20"/>
            <w:szCs w:val="20"/>
            <w:lang w:val="en-US"/>
          </w:rPr>
          <m:t>→</m:t>
        </m:r>
        <m:r>
          <w:rPr>
            <w:rFonts w:ascii="Cambria Math" w:hAnsi="Cambria Math"/>
            <w:sz w:val="20"/>
            <w:szCs w:val="20"/>
          </w:rPr>
          <m:t>Mo</m:t>
        </m:r>
        <m:r>
          <w:rPr>
            <w:rFonts w:ascii="Cambria Math" w:hAnsi="Cambria Math"/>
            <w:sz w:val="20"/>
            <w:szCs w:val="20"/>
            <w:lang w:val="en-US"/>
          </w:rPr>
          <m:t>+2</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lang w:val="en-US"/>
              </w:rPr>
              <m:t>2</m:t>
            </m:r>
          </m:sub>
        </m:sSub>
        <m:r>
          <w:rPr>
            <w:rFonts w:ascii="Cambria Math" w:hAnsi="Cambria Math"/>
            <w:sz w:val="20"/>
            <w:szCs w:val="20"/>
          </w:rPr>
          <m:t>O</m:t>
        </m:r>
      </m:oMath>
      <w:r w:rsidRPr="001519D1">
        <w:rPr>
          <w:rFonts w:ascii="Arial" w:hAnsi="Arial" w:cs="Arial"/>
          <w:sz w:val="22"/>
          <w:szCs w:val="22"/>
        </w:rPr>
        <w:t xml:space="preserve">            </w:t>
      </w:r>
      <w:r w:rsidRPr="001519D1">
        <w:rPr>
          <w:rFonts w:ascii="Arial" w:hAnsi="Arial" w:cs="Arial"/>
          <w:sz w:val="22"/>
          <w:szCs w:val="22"/>
        </w:rPr>
        <w:tab/>
      </w:r>
      <w:r w:rsidRPr="001519D1">
        <w:rPr>
          <w:rFonts w:ascii="Arial" w:hAnsi="Arial" w:cs="Arial"/>
          <w:sz w:val="22"/>
          <w:szCs w:val="22"/>
        </w:rPr>
        <w:tab/>
      </w:r>
      <w:r w:rsidRPr="001519D1">
        <w:rPr>
          <w:rFonts w:ascii="Arial" w:hAnsi="Arial" w:cs="Arial"/>
          <w:sz w:val="22"/>
          <w:szCs w:val="22"/>
        </w:rPr>
        <w:tab/>
      </w:r>
      <w:r w:rsidRPr="001519D1">
        <w:rPr>
          <w:rFonts w:ascii="Arial" w:hAnsi="Arial" w:cs="Arial"/>
          <w:sz w:val="22"/>
          <w:szCs w:val="22"/>
        </w:rPr>
        <w:tab/>
      </w:r>
      <w:r w:rsidRPr="001519D1">
        <w:rPr>
          <w:rFonts w:ascii="Arial" w:hAnsi="Arial" w:cs="Arial"/>
          <w:sz w:val="22"/>
          <w:szCs w:val="22"/>
        </w:rPr>
        <w:tab/>
      </w:r>
      <w:r w:rsidRPr="001519D1">
        <w:rPr>
          <w:rFonts w:ascii="Arial" w:hAnsi="Arial" w:cs="Arial"/>
          <w:sz w:val="22"/>
          <w:szCs w:val="22"/>
        </w:rPr>
        <w:tab/>
        <w:t xml:space="preserve">     </w:t>
      </w:r>
      <w:r w:rsidRPr="001519D1">
        <w:rPr>
          <w:rFonts w:ascii="Arial" w:hAnsi="Arial" w:cs="Arial"/>
          <w:sz w:val="22"/>
          <w:szCs w:val="22"/>
        </w:rPr>
        <w:tab/>
      </w:r>
      <w:r w:rsidRPr="001519D1">
        <w:rPr>
          <w:rFonts w:ascii="Arial" w:hAnsi="Arial" w:cs="Arial"/>
          <w:sz w:val="22"/>
          <w:szCs w:val="22"/>
        </w:rPr>
        <w:tab/>
        <w:t xml:space="preserve">    [5]</w:t>
      </w:r>
    </w:p>
    <w:p w14:paraId="2961CB26" w14:textId="77777777" w:rsidR="002945CE" w:rsidRPr="001519D1" w:rsidRDefault="002945CE" w:rsidP="009821CA">
      <w:pPr>
        <w:spacing w:after="0" w:line="360" w:lineRule="auto"/>
        <w:rPr>
          <w:rFonts w:ascii="Arial" w:hAnsi="Arial" w:cs="Arial"/>
          <w:lang w:val="en-US"/>
        </w:rPr>
      </w:pPr>
    </w:p>
    <w:p w14:paraId="1BE0F53A" w14:textId="132BCFE5" w:rsidR="009821CA" w:rsidRPr="001519D1" w:rsidRDefault="009821CA" w:rsidP="009821CA">
      <w:pPr>
        <w:spacing w:after="0" w:line="360" w:lineRule="auto"/>
        <w:rPr>
          <w:rFonts w:ascii="Arial" w:hAnsi="Arial" w:cs="Arial"/>
          <w:lang w:val="en-US"/>
        </w:rPr>
      </w:pPr>
      <w:r w:rsidRPr="001519D1">
        <w:rPr>
          <w:rFonts w:ascii="Arial" w:hAnsi="Arial" w:cs="Arial"/>
          <w:lang w:val="en-US"/>
        </w:rPr>
        <w:t>Moreover, the calculations lead to a total reducibility (Equation 1) around 400 %. If only the first reduction process is considered (A</w:t>
      </w:r>
      <w:r w:rsidRPr="001519D1">
        <w:rPr>
          <w:rFonts w:ascii="Arial" w:hAnsi="Arial" w:cs="Arial"/>
          <w:vertAlign w:val="subscript"/>
          <w:lang w:val="en-US"/>
        </w:rPr>
        <w:t>1</w:t>
      </w:r>
      <w:r w:rsidRPr="001519D1">
        <w:rPr>
          <w:rFonts w:ascii="Arial" w:hAnsi="Arial" w:cs="Arial"/>
          <w:lang w:val="en-US"/>
        </w:rPr>
        <w:t>), which is the temperature range of interest in this work, according to reduction process proposed in Eq. 2, the calculated reducibilities are 116, 107</w:t>
      </w:r>
      <w:r w:rsidR="00331326" w:rsidRPr="001519D1">
        <w:rPr>
          <w:rFonts w:ascii="Arial" w:hAnsi="Arial" w:cs="Arial"/>
          <w:lang w:val="en-US"/>
        </w:rPr>
        <w:t xml:space="preserve"> and 77</w:t>
      </w:r>
      <w:r w:rsidRPr="001519D1">
        <w:rPr>
          <w:rFonts w:ascii="Arial" w:hAnsi="Arial" w:cs="Arial"/>
          <w:lang w:val="en-US"/>
        </w:rPr>
        <w:t xml:space="preserve"> %, respectively. According to this, Mo oxide presents over-reducibility and, in agreement with Ressler’s work</w:t>
      </w:r>
      <w:r w:rsidR="006D48A6" w:rsidRPr="001519D1">
        <w:rPr>
          <w:rFonts w:ascii="Arial" w:hAnsi="Arial" w:cs="Arial"/>
          <w:lang w:val="en-US"/>
        </w:rPr>
        <w:t xml:space="preserve"> </w:t>
      </w:r>
      <w:r w:rsidR="006D48A6"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"10.1016/S0167-2738(01)00747-0", "ISSN" : "01672738", "abstract" : "The temperature-programmed reduction of molybdenum trioxide (MoO3) from 300 to 773 K in 50 vol.% hydrogen in He (105 Pa) at different heating rates (0.1, 0.2, and 5 K/min) was investigated by in situ X-ray diffraction (XRD) and X-ray absorption fine structure (XAFS). At heating rates of ???0.1 and ???0.2 K/min, the formation of the molybdenum bronze H0.34MoO3 was observed by in situ XRD in the early stage of the reduction of MoO3. At a heating rate of 5 K/min, the formation of a more disordered bronze (HxMoO3 with x???0.07) prior to the detection of the product phase MoO2 was observed by in situ XAFS. In both studies, the consumption of the bronze was found prior to the complete reduction of MoO3. A simplified mechanism for the temperature-programmed reduction of MoO3 in hydrogen is proposed that includes: (i) incorporation of H2 in the MoO3 bulk and formation of a more or less ordered bronze, (ii) consumption of the bronze and formation of nucleation site for MoO2, (iii) nucleation of MoO2 and nuclei growth. ?? 2001 Elsevier Science B.V.", "author" : [ { "dropping-particle" : "", "family" : "Ressler", "given" : "Thorsten", "non-dropping-particle" : "", "parse-names" : false, "suffix" : "" }, { "dropping-particle" : "", "family" : "Wienold", "given" : "Julia", "non-dropping-particle" : "", "parse-names" : false, "suffix" : "" }, { "dropping-particle" : "", "family" : "Jentoft", "given" : "Rolf E.", "non-dropping-particle" : "", "parse-names" : false, "suffix" : "" } ], "container-title" : "Solid State Ionics", "id" : "ITEM-1", "issued" : { "date-parts" : [ [ "2001" ] ] }, "page" : "243-252", "title" : "Formation of Bronzes during Temperature-programmed Reduction of MoO3 with Hydrogen - An In situ XRD and XAFS Study", "type" : "article-journal", "volume" : "141-142" }, "uris" : [ "http://www.mendeley.com/documents/?uuid=35e40a2d-4138-4f61-b1fc-a8d0c13096dd" ] } ], "mendeley" : { "formattedCitation" : "[71]", "plainTextFormattedCitation" : "[71]", "previouslyFormattedCitation" : "[71]" }, "properties" : { "noteIndex" : 0 }, "schema" : "https://github.com/citation-style-language/schema/raw/master/csl-citation.json" }</w:instrText>
      </w:r>
      <w:r w:rsidR="006D48A6" w:rsidRPr="001519D1">
        <w:rPr>
          <w:rFonts w:ascii="Arial" w:hAnsi="Arial" w:cs="Arial"/>
          <w:lang w:val="en-US"/>
        </w:rPr>
        <w:fldChar w:fldCharType="separate"/>
      </w:r>
      <w:r w:rsidR="00C76F86" w:rsidRPr="001519D1">
        <w:rPr>
          <w:rFonts w:ascii="Arial" w:hAnsi="Arial" w:cs="Arial"/>
          <w:noProof/>
          <w:lang w:val="en-US"/>
        </w:rPr>
        <w:t>[71]</w:t>
      </w:r>
      <w:r w:rsidR="006D48A6" w:rsidRPr="001519D1">
        <w:rPr>
          <w:rFonts w:ascii="Arial" w:hAnsi="Arial" w:cs="Arial"/>
          <w:lang w:val="en-US"/>
        </w:rPr>
        <w:fldChar w:fldCharType="end"/>
      </w:r>
      <w:r w:rsidR="006D48A6" w:rsidRPr="001519D1">
        <w:rPr>
          <w:rFonts w:ascii="Arial" w:hAnsi="Arial" w:cs="Arial"/>
          <w:lang w:val="en-US"/>
        </w:rPr>
        <w:t>,</w:t>
      </w:r>
      <w:r w:rsidRPr="001519D1">
        <w:rPr>
          <w:rFonts w:ascii="Arial" w:hAnsi="Arial" w:cs="Arial"/>
          <w:lang w:val="en-US"/>
        </w:rPr>
        <w:t xml:space="preserve"> the formation of bronzes (H</w:t>
      </w:r>
      <w:r w:rsidRPr="001519D1">
        <w:rPr>
          <w:rFonts w:ascii="Arial" w:hAnsi="Arial" w:cs="Arial"/>
          <w:vertAlign w:val="subscript"/>
          <w:lang w:val="en-US"/>
        </w:rPr>
        <w:t>x</w:t>
      </w:r>
      <w:r w:rsidRPr="001519D1">
        <w:rPr>
          <w:rFonts w:ascii="Arial" w:hAnsi="Arial" w:cs="Arial"/>
          <w:lang w:val="en-US"/>
        </w:rPr>
        <w:t>MoO</w:t>
      </w:r>
      <w:r w:rsidRPr="001519D1">
        <w:rPr>
          <w:rFonts w:ascii="Arial" w:hAnsi="Arial" w:cs="Arial"/>
          <w:vertAlign w:val="subscript"/>
          <w:lang w:val="en-US"/>
        </w:rPr>
        <w:t>3</w:t>
      </w:r>
      <w:r w:rsidRPr="001519D1">
        <w:rPr>
          <w:rFonts w:ascii="Arial" w:hAnsi="Arial" w:cs="Arial"/>
          <w:lang w:val="en-US"/>
        </w:rPr>
        <w:t xml:space="preserve"> type-structures) and some reduced MoO</w:t>
      </w:r>
      <w:r w:rsidRPr="001519D1">
        <w:rPr>
          <w:rFonts w:ascii="Arial" w:hAnsi="Arial" w:cs="Arial"/>
          <w:vertAlign w:val="subscript"/>
          <w:lang w:val="en-US"/>
        </w:rPr>
        <w:t>2</w:t>
      </w:r>
      <w:r w:rsidRPr="001519D1">
        <w:rPr>
          <w:rFonts w:ascii="Arial" w:hAnsi="Arial" w:cs="Arial"/>
          <w:lang w:val="en-US"/>
        </w:rPr>
        <w:t xml:space="preserve"> phase below 350 ºC are expected and should be kept in mind for future catalytic experiments.</w:t>
      </w:r>
    </w:p>
    <w:p w14:paraId="202C786E" w14:textId="77777777" w:rsidR="009821CA" w:rsidRPr="001519D1" w:rsidRDefault="009821CA" w:rsidP="009821CA">
      <w:pPr>
        <w:spacing w:after="0" w:line="360" w:lineRule="auto"/>
        <w:rPr>
          <w:rFonts w:ascii="Arial" w:hAnsi="Arial" w:cs="Arial"/>
          <w:lang w:val="en-US"/>
        </w:rPr>
      </w:pPr>
    </w:p>
    <w:p w14:paraId="6514DCF0" w14:textId="77777777" w:rsidR="009821CA" w:rsidRPr="001519D1" w:rsidRDefault="009821CA" w:rsidP="009821CA">
      <w:pPr>
        <w:spacing w:after="0" w:line="360" w:lineRule="auto"/>
        <w:rPr>
          <w:rFonts w:ascii="Arial" w:hAnsi="Arial" w:cs="Arial"/>
          <w:b/>
          <w:bCs/>
          <w:lang w:val="en-US"/>
        </w:rPr>
      </w:pPr>
      <w:r w:rsidRPr="001519D1">
        <w:rPr>
          <w:rFonts w:ascii="Arial" w:hAnsi="Arial" w:cs="Arial"/>
          <w:b/>
          <w:bCs/>
          <w:lang w:val="en-US"/>
        </w:rPr>
        <w:t>3.3 Analysis and characterization of the slurries and structured catalyst.</w:t>
      </w:r>
    </w:p>
    <w:p w14:paraId="6C6CE03E" w14:textId="42188785" w:rsidR="009821CA" w:rsidRPr="001519D1" w:rsidRDefault="009821CA" w:rsidP="009821CA">
      <w:pPr>
        <w:spacing w:after="0" w:line="360" w:lineRule="auto"/>
        <w:rPr>
          <w:rFonts w:ascii="Arial" w:hAnsi="Arial" w:cs="Arial"/>
          <w:lang w:val="en-US"/>
        </w:rPr>
      </w:pPr>
      <w:r w:rsidRPr="001519D1">
        <w:rPr>
          <w:rFonts w:ascii="Arial" w:hAnsi="Arial" w:cs="Arial"/>
          <w:lang w:val="en-US"/>
        </w:rPr>
        <w:t>The final formulation for the slurries preparation for the two selected samples (PtCeAl catalyst, named m-PtCeAl, and the physical mixture of PtCeAl + ZrEuMo_5 in mass proportion of 1:5, named m_PtCeAl+ZrEuMo_5) was optimized as described above in order to have a stable slurry during the complete washcoating process, to avoid the particle agglomeration and to obtain well-controlled homogeneous thin layer deposited on the micromonolith to prevent diffusional problems, fractures or peeling and catalyst loss. Thus, the solid samples were grinded and sieved to achieve particle sizes below 50 µm and the Z potential of each suspension was studied. The Z potential curves of the samples (Figure 10a) have been fitted to a Boltzmann equation. The solids present Z potential within the 6 – 8 pH range indicating that, for a stable slurry, the pH of the suspension must be far from this range. In addition, the viscosity of the slurry was analy</w:t>
      </w:r>
      <w:r w:rsidR="001D45E2" w:rsidRPr="001519D1">
        <w:rPr>
          <w:rFonts w:ascii="Arial" w:hAnsi="Arial" w:cs="Arial"/>
          <w:lang w:val="en-US"/>
        </w:rPr>
        <w:t>z</w:t>
      </w:r>
      <w:r w:rsidRPr="001519D1">
        <w:rPr>
          <w:rFonts w:ascii="Arial" w:hAnsi="Arial" w:cs="Arial"/>
          <w:lang w:val="en-US"/>
        </w:rPr>
        <w:t>ed at different stirring velocities. The same variation of the viscosity was observed for both slurries, being the value obtained at 250 rpm around 2.5 cp lower to the optimally suggested according to literature of 5 cp</w:t>
      </w:r>
      <w:r w:rsidR="006D48A6" w:rsidRPr="001519D1">
        <w:rPr>
          <w:rFonts w:ascii="Arial" w:hAnsi="Arial" w:cs="Arial"/>
          <w:lang w:val="en-US"/>
        </w:rPr>
        <w:t xml:space="preserve"> </w:t>
      </w:r>
      <w:r w:rsidR="006D48A6"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"10.1016/S0167-2991(10)75004-7", "ISBN" : "9780444536013", "ISSN" : "01672991", "abstract" : "The most important parameters controlling the washcoating of metallic structures from catalytic slurries are reviewed. The slurry must be stable with adequate rheological properties controlled by the solid content, particle size and additives. The metallic substrate must be pre-treated to obtain an adherent surface scale compatible with the coating and presenting appropriate surface roughness. The quality of the produced coating (homogeneity, specific load and adherence) depends essentially on slurry properties (viscosity and solid content) and on the technique used to remove slurry excess. \u00a9 2010 Elsevier B.V. All rights reserved.", "author" : [ { "dropping-particle" : "", "family" : "Almeida", "given" : "L.C.", "non-dropping-particle" : "", "parse-names" : false, "suffix" : "" }, { "dropping-particle" : "", "family" : "Echave", "given" : "F.J.", "non-dropping-particle" : "", "parse-names" : false, "suffix" : "" }, { "dropping-particle" : "", "family" : "Sanz", "given" : "O.", "non-dropping-particle" : "", "parse-names" : false, "suffix" : "" }, { "dropping-particle" : "", "family" : "Centeno", "given" : "M.A.", "non-dropping-particle" : "", "parse-names" : false, "suffix" : "" }, { "dropping-particle" : "", "family" : "Odriozola", "given" : "J.A.", "non-dropping-particle" : "", "parse-names" : false, "suffix" : "" }, { "dropping-particle" : "", "family" : "Montes", "given" : "M.", "non-dropping-particle" : "", "parse-names" : false, "suffix" : "" } ], "container-title" : "Studies in Surface Science and Catalysis", "editor" : [ { "dropping-particle" : "", "family" : "Gaigneaux", "given" : "E.M.", "non-dropping-particle" : "", "parse-names" : false, "suffix" : "" }, { "dropping-particle" : "", "family" : "Devillers", "given" : "M.", "non-dropping-particle" : "", "parse-names" : false, "suffix" : "" }, { "dropping-particle" : "", "family" : "Hermans", "given" : "S.", "non-dropping-particle" : "", "parse-names" : false, "suffix" : "" }, { "dropping-particle" : "", "family" : "Jacobs", "given" : "P.", "non-dropping-particle" : "", "parse-names" : false, "suffix" : "" }, { "dropping-particle" : "", "family" : "Martens", "given" : "J.", "non-dropping-particle" : "", "parse-names" : false, "suffix" : "" }, { "dropping-particle" : "", "family" : "Ruiz", "given" : "P.", "non-dropping-particle" : "", "parse-names" : false, "suffix" : "" } ], "id" : "ITEM-1", "issued" : { "date-parts" : [ [ "2010" ] ] }, "number-of-pages" : "25-33", "publisher" : "Elsevier B.V.", "title" : "Washcoating of metallic monoliths and microchannel reactors", "type" : "book", "volume" : "175" }, "uris" : [ "http://www.mendeley.com/documents/?uuid=6f999133-fbb9-4c23-95c8-d78417d524b4" ] } ], "mendeley" : { "formattedCitation" : "[40]", "plainTextFormattedCitation" : "[40]", "previouslyFormattedCitation" : "[40]" }, "properties" : { "noteIndex" : 0 }, "schema" : "https://github.com/citation-style-language/schema/raw/master/csl-citation.json" }</w:instrText>
      </w:r>
      <w:r w:rsidR="006D48A6" w:rsidRPr="001519D1">
        <w:rPr>
          <w:rFonts w:ascii="Arial" w:hAnsi="Arial" w:cs="Arial"/>
          <w:lang w:val="en-US"/>
        </w:rPr>
        <w:fldChar w:fldCharType="separate"/>
      </w:r>
      <w:r w:rsidR="00C76F86" w:rsidRPr="001519D1">
        <w:rPr>
          <w:rFonts w:ascii="Arial" w:hAnsi="Arial" w:cs="Arial"/>
          <w:noProof/>
          <w:lang w:val="en-US"/>
        </w:rPr>
        <w:t>[40]</w:t>
      </w:r>
      <w:r w:rsidR="006D48A6" w:rsidRPr="001519D1">
        <w:rPr>
          <w:rFonts w:ascii="Arial" w:hAnsi="Arial" w:cs="Arial"/>
          <w:lang w:val="en-US"/>
        </w:rPr>
        <w:fldChar w:fldCharType="end"/>
      </w:r>
      <w:r w:rsidR="006D48A6" w:rsidRPr="001519D1">
        <w:rPr>
          <w:rFonts w:ascii="Arial" w:hAnsi="Arial" w:cs="Arial"/>
          <w:lang w:val="en-US"/>
        </w:rPr>
        <w:t>.</w:t>
      </w:r>
      <w:r w:rsidRPr="001519D1">
        <w:rPr>
          <w:rFonts w:ascii="Arial" w:hAnsi="Arial" w:cs="Arial"/>
          <w:lang w:val="en-US"/>
        </w:rPr>
        <w:t xml:space="preserve"> </w:t>
      </w:r>
      <w:r w:rsidRPr="001519D1">
        <w:rPr>
          <w:rFonts w:ascii="Arial" w:hAnsi="Arial" w:cs="Arial"/>
          <w:lang w:val="en-US"/>
        </w:rPr>
        <w:lastRenderedPageBreak/>
        <w:t>These data correspond to the final slurry formulation using only colloidal alumina (Nyacol ®) as additive, whose role is to help the adhesion of the catalyst. The summary of the measured pH and viscosities of each slurry is reported in Table 2 and Figure 10.</w:t>
      </w:r>
    </w:p>
    <w:p w14:paraId="6B45A4F4" w14:textId="77777777" w:rsidR="007C13C1" w:rsidRPr="001519D1" w:rsidRDefault="007C13C1" w:rsidP="009821CA">
      <w:pPr>
        <w:spacing w:after="0" w:line="360" w:lineRule="auto"/>
        <w:rPr>
          <w:rFonts w:ascii="Arial" w:hAnsi="Arial" w:cs="Arial"/>
          <w:lang w:val="en-US"/>
        </w:rPr>
      </w:pPr>
    </w:p>
    <w:p w14:paraId="38538C86" w14:textId="2477DFFA" w:rsidR="007C13C1" w:rsidRPr="001519D1" w:rsidRDefault="007C13C1" w:rsidP="007C13C1">
      <w:pPr>
        <w:pStyle w:val="Descripcin"/>
        <w:keepNext/>
        <w:rPr>
          <w:rFonts w:ascii="Arial" w:hAnsi="Arial" w:cs="Arial"/>
          <w:i w:val="0"/>
          <w:iCs w:val="0"/>
          <w:color w:val="auto"/>
          <w:sz w:val="22"/>
          <w:szCs w:val="22"/>
          <w:lang w:val="en-US"/>
        </w:rPr>
      </w:pPr>
      <w:r w:rsidRPr="001519D1">
        <w:rPr>
          <w:rFonts w:ascii="Arial" w:hAnsi="Arial" w:cs="Arial"/>
          <w:i w:val="0"/>
          <w:iCs w:val="0"/>
          <w:color w:val="auto"/>
          <w:sz w:val="22"/>
          <w:szCs w:val="22"/>
          <w:lang w:val="en-US"/>
        </w:rPr>
        <w:t xml:space="preserve">Table </w:t>
      </w:r>
      <w:r w:rsidRPr="001519D1">
        <w:rPr>
          <w:rFonts w:ascii="Arial" w:hAnsi="Arial" w:cs="Arial"/>
          <w:i w:val="0"/>
          <w:iCs w:val="0"/>
          <w:color w:val="auto"/>
          <w:sz w:val="22"/>
          <w:szCs w:val="22"/>
        </w:rPr>
        <w:fldChar w:fldCharType="begin"/>
      </w:r>
      <w:r w:rsidRPr="001519D1">
        <w:rPr>
          <w:rFonts w:ascii="Arial" w:hAnsi="Arial" w:cs="Arial"/>
          <w:i w:val="0"/>
          <w:iCs w:val="0"/>
          <w:color w:val="auto"/>
          <w:sz w:val="22"/>
          <w:szCs w:val="22"/>
          <w:lang w:val="en-US"/>
        </w:rPr>
        <w:instrText xml:space="preserve"> SEQ Table \* ARABIC </w:instrText>
      </w:r>
      <w:r w:rsidRPr="001519D1">
        <w:rPr>
          <w:rFonts w:ascii="Arial" w:hAnsi="Arial" w:cs="Arial"/>
          <w:i w:val="0"/>
          <w:iCs w:val="0"/>
          <w:color w:val="auto"/>
          <w:sz w:val="22"/>
          <w:szCs w:val="22"/>
        </w:rPr>
        <w:fldChar w:fldCharType="separate"/>
      </w:r>
      <w:r w:rsidR="00AB59A7" w:rsidRPr="001519D1">
        <w:rPr>
          <w:rFonts w:ascii="Arial" w:hAnsi="Arial" w:cs="Arial"/>
          <w:i w:val="0"/>
          <w:iCs w:val="0"/>
          <w:noProof/>
          <w:color w:val="auto"/>
          <w:sz w:val="22"/>
          <w:szCs w:val="22"/>
          <w:lang w:val="en-US"/>
        </w:rPr>
        <w:t>2</w:t>
      </w:r>
      <w:r w:rsidRPr="001519D1">
        <w:rPr>
          <w:rFonts w:ascii="Arial" w:hAnsi="Arial" w:cs="Arial"/>
          <w:i w:val="0"/>
          <w:iCs w:val="0"/>
          <w:color w:val="auto"/>
          <w:sz w:val="22"/>
          <w:szCs w:val="22"/>
        </w:rPr>
        <w:fldChar w:fldCharType="end"/>
      </w:r>
      <w:r w:rsidRPr="001519D1">
        <w:rPr>
          <w:rFonts w:ascii="Arial" w:hAnsi="Arial" w:cs="Arial"/>
          <w:i w:val="0"/>
          <w:iCs w:val="0"/>
          <w:color w:val="auto"/>
          <w:sz w:val="22"/>
          <w:szCs w:val="22"/>
          <w:lang w:val="en-US"/>
        </w:rPr>
        <w:t>.</w:t>
      </w:r>
      <w:r w:rsidRPr="001519D1">
        <w:rPr>
          <w:rFonts w:ascii="Arial" w:hAnsi="Arial" w:cs="Arial"/>
          <w:i w:val="0"/>
          <w:iCs w:val="0"/>
          <w:noProof/>
          <w:color w:val="auto"/>
          <w:sz w:val="22"/>
          <w:szCs w:val="22"/>
          <w:lang w:val="en-US"/>
        </w:rPr>
        <w:t xml:space="preserve"> Properties of the prepared slurries, catalyst loading on micromonoliths by washcoating and weight loss measured by the adherence test.</w:t>
      </w:r>
    </w:p>
    <w:tbl>
      <w:tblPr>
        <w:tblStyle w:val="Tablaconcuadrcula"/>
        <w:tblW w:w="0" w:type="auto"/>
        <w:jc w:val="center"/>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2127"/>
        <w:gridCol w:w="1842"/>
        <w:gridCol w:w="2362"/>
      </w:tblGrid>
      <w:tr w:rsidR="009821CA" w:rsidRPr="001519D1" w14:paraId="5CD3D9D7" w14:textId="77777777" w:rsidTr="007C13C1">
        <w:trPr>
          <w:trHeight w:val="567"/>
          <w:jc w:val="center"/>
        </w:trPr>
        <w:tc>
          <w:tcPr>
            <w:tcW w:w="2127" w:type="dxa"/>
            <w:tcBorders>
              <w:bottom w:val="single" w:sz="12" w:space="0" w:color="auto"/>
            </w:tcBorders>
            <w:vAlign w:val="center"/>
          </w:tcPr>
          <w:p w14:paraId="27E38A6F" w14:textId="77777777" w:rsidR="009821CA" w:rsidRPr="001519D1" w:rsidRDefault="009821CA" w:rsidP="000B1F92">
            <w:pPr>
              <w:jc w:val="center"/>
              <w:rPr>
                <w:rFonts w:ascii="Arial" w:hAnsi="Arial" w:cs="Arial"/>
              </w:rPr>
            </w:pPr>
            <w:r w:rsidRPr="001519D1">
              <w:rPr>
                <w:rFonts w:ascii="Arial" w:hAnsi="Arial" w:cs="Arial"/>
              </w:rPr>
              <w:t>Structured sample</w:t>
            </w:r>
          </w:p>
        </w:tc>
        <w:tc>
          <w:tcPr>
            <w:tcW w:w="1842" w:type="dxa"/>
            <w:tcBorders>
              <w:bottom w:val="single" w:sz="12" w:space="0" w:color="auto"/>
            </w:tcBorders>
            <w:vAlign w:val="center"/>
          </w:tcPr>
          <w:p w14:paraId="5F428AFB" w14:textId="77777777" w:rsidR="009821CA" w:rsidRPr="001519D1" w:rsidRDefault="009821CA" w:rsidP="000B1F92">
            <w:pPr>
              <w:jc w:val="center"/>
              <w:rPr>
                <w:rFonts w:ascii="Arial" w:hAnsi="Arial" w:cs="Arial"/>
              </w:rPr>
            </w:pPr>
            <w:r w:rsidRPr="001519D1">
              <w:rPr>
                <w:rFonts w:ascii="Arial" w:hAnsi="Arial" w:cs="Arial"/>
              </w:rPr>
              <w:t>m_PtCeAl</w:t>
            </w:r>
          </w:p>
        </w:tc>
        <w:tc>
          <w:tcPr>
            <w:tcW w:w="1727" w:type="dxa"/>
            <w:tcBorders>
              <w:bottom w:val="single" w:sz="12" w:space="0" w:color="auto"/>
            </w:tcBorders>
            <w:vAlign w:val="center"/>
          </w:tcPr>
          <w:p w14:paraId="16DAA40A" w14:textId="77777777" w:rsidR="009821CA" w:rsidRPr="001519D1" w:rsidRDefault="009821CA" w:rsidP="000B1F92">
            <w:pPr>
              <w:jc w:val="center"/>
              <w:rPr>
                <w:rFonts w:ascii="Arial" w:hAnsi="Arial" w:cs="Arial"/>
              </w:rPr>
            </w:pPr>
            <w:r w:rsidRPr="001519D1">
              <w:rPr>
                <w:rFonts w:ascii="Arial" w:hAnsi="Arial" w:cs="Arial"/>
              </w:rPr>
              <w:t>m_PtCeAl+ZrEuMo_5 (1:5)</w:t>
            </w:r>
          </w:p>
        </w:tc>
      </w:tr>
      <w:tr w:rsidR="009821CA" w:rsidRPr="001519D1" w14:paraId="78893089" w14:textId="77777777" w:rsidTr="007C13C1">
        <w:trPr>
          <w:trHeight w:val="567"/>
          <w:jc w:val="center"/>
        </w:trPr>
        <w:tc>
          <w:tcPr>
            <w:tcW w:w="2127" w:type="dxa"/>
            <w:tcBorders>
              <w:top w:val="single" w:sz="12" w:space="0" w:color="auto"/>
              <w:right w:val="single" w:sz="12" w:space="0" w:color="auto"/>
            </w:tcBorders>
            <w:vAlign w:val="center"/>
          </w:tcPr>
          <w:p w14:paraId="4658EE83" w14:textId="77777777" w:rsidR="009821CA" w:rsidRPr="001519D1" w:rsidRDefault="009821CA" w:rsidP="000B1F92">
            <w:pPr>
              <w:jc w:val="center"/>
              <w:rPr>
                <w:rFonts w:ascii="Arial" w:hAnsi="Arial" w:cs="Arial"/>
              </w:rPr>
            </w:pPr>
            <w:r w:rsidRPr="001519D1">
              <w:rPr>
                <w:rFonts w:ascii="Arial" w:hAnsi="Arial" w:cs="Arial"/>
              </w:rPr>
              <w:t>pH</w:t>
            </w:r>
            <w:r w:rsidRPr="001519D1">
              <w:rPr>
                <w:rFonts w:ascii="Arial" w:hAnsi="Arial" w:cs="Arial"/>
                <w:vertAlign w:val="superscript"/>
              </w:rPr>
              <w:t>a</w:t>
            </w:r>
            <w:r w:rsidRPr="001519D1">
              <w:rPr>
                <w:rFonts w:ascii="Arial" w:hAnsi="Arial" w:cs="Arial"/>
              </w:rPr>
              <w:t xml:space="preserve"> </w:t>
            </w:r>
          </w:p>
          <w:p w14:paraId="5CC2F686" w14:textId="77777777" w:rsidR="009821CA" w:rsidRPr="001519D1" w:rsidRDefault="009821CA" w:rsidP="000B1F92">
            <w:pPr>
              <w:jc w:val="center"/>
              <w:rPr>
                <w:rFonts w:ascii="Arial" w:hAnsi="Arial" w:cs="Arial"/>
              </w:rPr>
            </w:pPr>
            <w:r w:rsidRPr="001519D1">
              <w:rPr>
                <w:rFonts w:ascii="Arial" w:hAnsi="Arial" w:cs="Arial"/>
              </w:rPr>
              <w:t>(Z pot. = 0)</w:t>
            </w:r>
          </w:p>
        </w:tc>
        <w:tc>
          <w:tcPr>
            <w:tcW w:w="1842" w:type="dxa"/>
            <w:tcBorders>
              <w:top w:val="single" w:sz="12" w:space="0" w:color="auto"/>
              <w:left w:val="single" w:sz="12" w:space="0" w:color="auto"/>
            </w:tcBorders>
            <w:vAlign w:val="center"/>
          </w:tcPr>
          <w:p w14:paraId="3E7851D7" w14:textId="77777777" w:rsidR="009821CA" w:rsidRPr="001519D1" w:rsidRDefault="009821CA" w:rsidP="000B1F92">
            <w:pPr>
              <w:jc w:val="center"/>
              <w:rPr>
                <w:rFonts w:ascii="Arial" w:hAnsi="Arial" w:cs="Arial"/>
              </w:rPr>
            </w:pPr>
            <w:r w:rsidRPr="001519D1">
              <w:rPr>
                <w:rFonts w:ascii="Arial" w:hAnsi="Arial" w:cs="Arial"/>
              </w:rPr>
              <w:t>7.12</w:t>
            </w:r>
          </w:p>
        </w:tc>
        <w:tc>
          <w:tcPr>
            <w:tcW w:w="1727" w:type="dxa"/>
            <w:tcBorders>
              <w:top w:val="single" w:sz="12" w:space="0" w:color="auto"/>
            </w:tcBorders>
            <w:vAlign w:val="center"/>
          </w:tcPr>
          <w:p w14:paraId="28E872CF" w14:textId="77777777" w:rsidR="009821CA" w:rsidRPr="001519D1" w:rsidRDefault="009821CA" w:rsidP="000B1F92">
            <w:pPr>
              <w:jc w:val="center"/>
              <w:rPr>
                <w:rFonts w:ascii="Arial" w:hAnsi="Arial" w:cs="Arial"/>
              </w:rPr>
            </w:pPr>
            <w:r w:rsidRPr="001519D1">
              <w:rPr>
                <w:rFonts w:ascii="Arial" w:hAnsi="Arial" w:cs="Arial"/>
              </w:rPr>
              <w:t>7.77</w:t>
            </w:r>
          </w:p>
        </w:tc>
      </w:tr>
      <w:tr w:rsidR="009821CA" w:rsidRPr="001519D1" w14:paraId="51DF4617" w14:textId="77777777" w:rsidTr="007C13C1">
        <w:trPr>
          <w:trHeight w:val="567"/>
          <w:jc w:val="center"/>
        </w:trPr>
        <w:tc>
          <w:tcPr>
            <w:tcW w:w="2127" w:type="dxa"/>
            <w:tcBorders>
              <w:right w:val="single" w:sz="12" w:space="0" w:color="auto"/>
            </w:tcBorders>
            <w:vAlign w:val="center"/>
          </w:tcPr>
          <w:p w14:paraId="4217E098" w14:textId="77777777" w:rsidR="009821CA" w:rsidRPr="001519D1" w:rsidRDefault="009821CA" w:rsidP="000B1F92">
            <w:pPr>
              <w:jc w:val="center"/>
              <w:rPr>
                <w:rFonts w:ascii="Arial" w:hAnsi="Arial" w:cs="Arial"/>
              </w:rPr>
            </w:pPr>
            <w:r w:rsidRPr="001519D1">
              <w:rPr>
                <w:rFonts w:ascii="Arial" w:hAnsi="Arial" w:cs="Arial"/>
              </w:rPr>
              <w:t xml:space="preserve">pH slurry </w:t>
            </w:r>
          </w:p>
        </w:tc>
        <w:tc>
          <w:tcPr>
            <w:tcW w:w="1842" w:type="dxa"/>
            <w:tcBorders>
              <w:left w:val="single" w:sz="12" w:space="0" w:color="auto"/>
            </w:tcBorders>
            <w:vAlign w:val="center"/>
          </w:tcPr>
          <w:p w14:paraId="2910058E" w14:textId="77777777" w:rsidR="009821CA" w:rsidRPr="001519D1" w:rsidRDefault="009821CA" w:rsidP="000B1F92">
            <w:pPr>
              <w:jc w:val="center"/>
              <w:rPr>
                <w:rFonts w:ascii="Arial" w:hAnsi="Arial" w:cs="Arial"/>
              </w:rPr>
            </w:pPr>
            <w:r w:rsidRPr="001519D1">
              <w:rPr>
                <w:rFonts w:ascii="Arial" w:hAnsi="Arial" w:cs="Arial"/>
              </w:rPr>
              <w:t>5.35</w:t>
            </w:r>
          </w:p>
        </w:tc>
        <w:tc>
          <w:tcPr>
            <w:tcW w:w="1727" w:type="dxa"/>
            <w:vAlign w:val="center"/>
          </w:tcPr>
          <w:p w14:paraId="66B1E65C" w14:textId="77777777" w:rsidR="009821CA" w:rsidRPr="001519D1" w:rsidRDefault="009821CA" w:rsidP="000B1F92">
            <w:pPr>
              <w:jc w:val="center"/>
              <w:rPr>
                <w:rFonts w:ascii="Arial" w:hAnsi="Arial" w:cs="Arial"/>
              </w:rPr>
            </w:pPr>
            <w:r w:rsidRPr="001519D1">
              <w:rPr>
                <w:rFonts w:ascii="Arial" w:hAnsi="Arial" w:cs="Arial"/>
              </w:rPr>
              <w:t>3.87</w:t>
            </w:r>
          </w:p>
        </w:tc>
      </w:tr>
      <w:tr w:rsidR="009821CA" w:rsidRPr="001519D1" w14:paraId="08EA3BDA" w14:textId="77777777" w:rsidTr="007C13C1">
        <w:trPr>
          <w:trHeight w:val="567"/>
          <w:jc w:val="center"/>
        </w:trPr>
        <w:tc>
          <w:tcPr>
            <w:tcW w:w="2127" w:type="dxa"/>
            <w:tcBorders>
              <w:right w:val="single" w:sz="12" w:space="0" w:color="auto"/>
            </w:tcBorders>
            <w:vAlign w:val="center"/>
          </w:tcPr>
          <w:p w14:paraId="7D90C50E" w14:textId="77777777" w:rsidR="009821CA" w:rsidRPr="001519D1" w:rsidRDefault="009821CA" w:rsidP="000B1F92">
            <w:pPr>
              <w:jc w:val="center"/>
              <w:rPr>
                <w:rFonts w:ascii="Arial" w:hAnsi="Arial" w:cs="Arial"/>
              </w:rPr>
            </w:pPr>
            <w:r w:rsidRPr="001519D1">
              <w:rPr>
                <w:rFonts w:ascii="Arial" w:hAnsi="Arial" w:cs="Arial"/>
              </w:rPr>
              <w:t>Viscosity slurry (cp)</w:t>
            </w:r>
          </w:p>
        </w:tc>
        <w:tc>
          <w:tcPr>
            <w:tcW w:w="1842" w:type="dxa"/>
            <w:tcBorders>
              <w:left w:val="single" w:sz="12" w:space="0" w:color="auto"/>
            </w:tcBorders>
            <w:vAlign w:val="center"/>
          </w:tcPr>
          <w:p w14:paraId="35E4AF16" w14:textId="77777777" w:rsidR="009821CA" w:rsidRPr="001519D1" w:rsidRDefault="009821CA" w:rsidP="000B1F92">
            <w:pPr>
              <w:jc w:val="center"/>
              <w:rPr>
                <w:rFonts w:ascii="Arial" w:hAnsi="Arial" w:cs="Arial"/>
              </w:rPr>
            </w:pPr>
            <w:r w:rsidRPr="001519D1">
              <w:rPr>
                <w:rFonts w:ascii="Arial" w:hAnsi="Arial" w:cs="Arial"/>
              </w:rPr>
              <w:t>2.6</w:t>
            </w:r>
          </w:p>
        </w:tc>
        <w:tc>
          <w:tcPr>
            <w:tcW w:w="1727" w:type="dxa"/>
            <w:vAlign w:val="center"/>
          </w:tcPr>
          <w:p w14:paraId="211DA25B" w14:textId="77777777" w:rsidR="009821CA" w:rsidRPr="001519D1" w:rsidRDefault="009821CA" w:rsidP="000B1F92">
            <w:pPr>
              <w:jc w:val="center"/>
              <w:rPr>
                <w:rFonts w:ascii="Arial" w:hAnsi="Arial" w:cs="Arial"/>
              </w:rPr>
            </w:pPr>
            <w:r w:rsidRPr="001519D1">
              <w:rPr>
                <w:rFonts w:ascii="Arial" w:hAnsi="Arial" w:cs="Arial"/>
              </w:rPr>
              <w:t>2.0</w:t>
            </w:r>
          </w:p>
        </w:tc>
      </w:tr>
      <w:tr w:rsidR="009821CA" w:rsidRPr="001519D1" w14:paraId="378C1644" w14:textId="77777777" w:rsidTr="007C13C1">
        <w:trPr>
          <w:trHeight w:val="567"/>
          <w:jc w:val="center"/>
        </w:trPr>
        <w:tc>
          <w:tcPr>
            <w:tcW w:w="2127" w:type="dxa"/>
            <w:tcBorders>
              <w:right w:val="single" w:sz="12" w:space="0" w:color="auto"/>
            </w:tcBorders>
            <w:vAlign w:val="center"/>
          </w:tcPr>
          <w:p w14:paraId="1D06D5EA" w14:textId="77777777" w:rsidR="009821CA" w:rsidRPr="001519D1" w:rsidRDefault="009821CA" w:rsidP="000B1F92">
            <w:pPr>
              <w:jc w:val="center"/>
              <w:rPr>
                <w:rFonts w:ascii="Arial" w:hAnsi="Arial" w:cs="Arial"/>
              </w:rPr>
            </w:pPr>
            <w:r w:rsidRPr="001519D1">
              <w:rPr>
                <w:rFonts w:ascii="Arial" w:hAnsi="Arial" w:cs="Arial"/>
              </w:rPr>
              <w:t>Catalyst loading (g)</w:t>
            </w:r>
          </w:p>
        </w:tc>
        <w:tc>
          <w:tcPr>
            <w:tcW w:w="1842" w:type="dxa"/>
            <w:tcBorders>
              <w:left w:val="single" w:sz="12" w:space="0" w:color="auto"/>
            </w:tcBorders>
            <w:vAlign w:val="center"/>
          </w:tcPr>
          <w:p w14:paraId="2A4942EF" w14:textId="77777777" w:rsidR="009821CA" w:rsidRPr="001519D1" w:rsidRDefault="009821CA" w:rsidP="000B1F92">
            <w:pPr>
              <w:jc w:val="center"/>
              <w:rPr>
                <w:rFonts w:ascii="Arial" w:hAnsi="Arial" w:cs="Arial"/>
              </w:rPr>
            </w:pPr>
            <w:r w:rsidRPr="001519D1">
              <w:rPr>
                <w:rFonts w:ascii="Arial" w:hAnsi="Arial" w:cs="Arial"/>
              </w:rPr>
              <w:t>0.1281</w:t>
            </w:r>
          </w:p>
        </w:tc>
        <w:tc>
          <w:tcPr>
            <w:tcW w:w="1727" w:type="dxa"/>
            <w:vAlign w:val="center"/>
          </w:tcPr>
          <w:p w14:paraId="579984E4" w14:textId="77777777" w:rsidR="009821CA" w:rsidRPr="001519D1" w:rsidRDefault="009821CA" w:rsidP="000B1F92">
            <w:pPr>
              <w:jc w:val="center"/>
              <w:rPr>
                <w:rFonts w:ascii="Arial" w:hAnsi="Arial" w:cs="Arial"/>
              </w:rPr>
            </w:pPr>
            <w:r w:rsidRPr="001519D1">
              <w:rPr>
                <w:rFonts w:ascii="Arial" w:hAnsi="Arial" w:cs="Arial"/>
              </w:rPr>
              <w:t>0.5482</w:t>
            </w:r>
          </w:p>
        </w:tc>
      </w:tr>
      <w:tr w:rsidR="009821CA" w:rsidRPr="001519D1" w14:paraId="77B36E0E" w14:textId="77777777" w:rsidTr="007C13C1">
        <w:trPr>
          <w:trHeight w:val="567"/>
          <w:jc w:val="center"/>
        </w:trPr>
        <w:tc>
          <w:tcPr>
            <w:tcW w:w="2127" w:type="dxa"/>
            <w:tcBorders>
              <w:right w:val="single" w:sz="12" w:space="0" w:color="auto"/>
            </w:tcBorders>
            <w:vAlign w:val="center"/>
          </w:tcPr>
          <w:p w14:paraId="143EF6B6" w14:textId="77777777" w:rsidR="009821CA" w:rsidRPr="001519D1" w:rsidRDefault="009821CA" w:rsidP="000B1F92">
            <w:pPr>
              <w:jc w:val="center"/>
              <w:rPr>
                <w:rFonts w:ascii="Arial" w:hAnsi="Arial" w:cs="Arial"/>
              </w:rPr>
            </w:pPr>
            <w:r w:rsidRPr="001519D1">
              <w:rPr>
                <w:rFonts w:ascii="Arial" w:hAnsi="Arial" w:cs="Arial"/>
              </w:rPr>
              <w:t>Adherence</w:t>
            </w:r>
            <w:r w:rsidRPr="001519D1">
              <w:rPr>
                <w:rFonts w:ascii="Arial" w:hAnsi="Arial" w:cs="Arial"/>
                <w:vertAlign w:val="superscript"/>
              </w:rPr>
              <w:t>b</w:t>
            </w:r>
            <w:r w:rsidRPr="001519D1">
              <w:rPr>
                <w:rFonts w:ascii="Arial" w:hAnsi="Arial" w:cs="Arial"/>
              </w:rPr>
              <w:t xml:space="preserve"> (%)</w:t>
            </w:r>
          </w:p>
        </w:tc>
        <w:tc>
          <w:tcPr>
            <w:tcW w:w="1842" w:type="dxa"/>
            <w:tcBorders>
              <w:left w:val="single" w:sz="12" w:space="0" w:color="auto"/>
            </w:tcBorders>
            <w:vAlign w:val="center"/>
          </w:tcPr>
          <w:p w14:paraId="4E8B6CF2" w14:textId="77777777" w:rsidR="009821CA" w:rsidRPr="001519D1" w:rsidRDefault="009821CA" w:rsidP="000B1F92">
            <w:pPr>
              <w:jc w:val="center"/>
              <w:rPr>
                <w:rFonts w:ascii="Arial" w:hAnsi="Arial" w:cs="Arial"/>
              </w:rPr>
            </w:pPr>
            <w:r w:rsidRPr="001519D1">
              <w:rPr>
                <w:rFonts w:ascii="Arial" w:hAnsi="Arial" w:cs="Arial"/>
              </w:rPr>
              <w:t>94,46</w:t>
            </w:r>
          </w:p>
        </w:tc>
        <w:tc>
          <w:tcPr>
            <w:tcW w:w="1727" w:type="dxa"/>
            <w:vAlign w:val="center"/>
          </w:tcPr>
          <w:p w14:paraId="55DF6F08" w14:textId="77777777" w:rsidR="009821CA" w:rsidRPr="001519D1" w:rsidRDefault="009821CA" w:rsidP="000B1F92">
            <w:pPr>
              <w:keepNext/>
              <w:jc w:val="center"/>
              <w:rPr>
                <w:rFonts w:ascii="Arial" w:hAnsi="Arial" w:cs="Arial"/>
              </w:rPr>
            </w:pPr>
            <w:r w:rsidRPr="001519D1">
              <w:rPr>
                <w:rFonts w:ascii="Arial" w:hAnsi="Arial" w:cs="Arial"/>
              </w:rPr>
              <w:t>94,44</w:t>
            </w:r>
          </w:p>
        </w:tc>
      </w:tr>
    </w:tbl>
    <w:p w14:paraId="3991FB5C" w14:textId="770E96B1" w:rsidR="009821CA" w:rsidRPr="001519D1" w:rsidRDefault="009821CA" w:rsidP="009821CA">
      <w:pPr>
        <w:spacing w:after="0" w:line="360" w:lineRule="auto"/>
        <w:rPr>
          <w:rFonts w:ascii="Arial" w:hAnsi="Arial" w:cs="Arial"/>
          <w:lang w:val="en-US"/>
        </w:rPr>
      </w:pPr>
      <w:r w:rsidRPr="001519D1">
        <w:rPr>
          <w:rFonts w:ascii="Arial" w:hAnsi="Arial" w:cs="Arial"/>
          <w:vertAlign w:val="superscript"/>
          <w:lang w:val="en-US"/>
        </w:rPr>
        <w:t>a</w:t>
      </w:r>
      <w:r w:rsidRPr="001519D1">
        <w:rPr>
          <w:rFonts w:ascii="Arial" w:hAnsi="Arial" w:cs="Arial"/>
          <w:lang w:val="en-US"/>
        </w:rPr>
        <w:t>pH at zero Z potential of the colloidal suspension (Figure 10a).</w:t>
      </w:r>
    </w:p>
    <w:p w14:paraId="3064BE08" w14:textId="7A9EEEE0" w:rsidR="009821CA" w:rsidRPr="001519D1" w:rsidRDefault="009821CA" w:rsidP="009821CA">
      <w:pPr>
        <w:spacing w:after="0" w:line="360" w:lineRule="auto"/>
        <w:rPr>
          <w:rFonts w:ascii="Arial" w:hAnsi="Arial" w:cs="Arial"/>
          <w:lang w:val="en-US"/>
        </w:rPr>
      </w:pPr>
      <w:r w:rsidRPr="001519D1">
        <w:rPr>
          <w:rFonts w:ascii="Arial" w:hAnsi="Arial" w:cs="Arial"/>
          <w:vertAlign w:val="superscript"/>
          <w:lang w:val="en-US"/>
        </w:rPr>
        <w:t>b</w:t>
      </w:r>
      <w:r w:rsidRPr="001519D1">
        <w:rPr>
          <w:rFonts w:ascii="Arial" w:hAnsi="Arial" w:cs="Arial"/>
          <w:lang w:val="en-US"/>
        </w:rPr>
        <w:t>Catalyst’ adherence (%) calculated by the difference between the catalyst loading before and after the adherence test of the structured catalysts.</w:t>
      </w:r>
    </w:p>
    <w:p w14:paraId="3E3EF54C" w14:textId="0344CAF8" w:rsidR="007C13C1" w:rsidRPr="001519D1" w:rsidRDefault="007C13C1" w:rsidP="009821CA">
      <w:pPr>
        <w:spacing w:after="0" w:line="360" w:lineRule="auto"/>
        <w:rPr>
          <w:rFonts w:ascii="Arial" w:hAnsi="Arial" w:cs="Arial"/>
          <w:lang w:val="en-US"/>
        </w:rPr>
      </w:pPr>
    </w:p>
    <w:p w14:paraId="685E284A" w14:textId="77777777" w:rsidR="00AB59A7" w:rsidRPr="001519D1" w:rsidRDefault="00AB59A7" w:rsidP="00AB59A7">
      <w:pPr>
        <w:keepNext/>
        <w:spacing w:after="0" w:line="360" w:lineRule="auto"/>
      </w:pPr>
      <w:r w:rsidRPr="001519D1">
        <w:rPr>
          <w:rFonts w:ascii="Arial" w:hAnsi="Arial" w:cs="Arial"/>
          <w:noProof/>
          <w:lang w:val="es-ES" w:eastAsia="es-ES"/>
        </w:rPr>
        <w:lastRenderedPageBreak/>
        <w:drawing>
          <wp:inline distT="0" distB="0" distL="0" distR="0" wp14:anchorId="26C21B5B" wp14:editId="4EEB1132">
            <wp:extent cx="2495550" cy="41770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962" cy="4177725"/>
                    </a:xfrm>
                    <a:prstGeom prst="rect">
                      <a:avLst/>
                    </a:prstGeom>
                    <a:noFill/>
                  </pic:spPr>
                </pic:pic>
              </a:graphicData>
            </a:graphic>
          </wp:inline>
        </w:drawing>
      </w:r>
    </w:p>
    <w:p w14:paraId="012B4F9C" w14:textId="4D184B69" w:rsidR="00AB59A7" w:rsidRPr="001519D1" w:rsidRDefault="00AB59A7" w:rsidP="00AB59A7">
      <w:pPr>
        <w:pStyle w:val="Descripcin"/>
        <w:rPr>
          <w:rFonts w:ascii="Arial" w:hAnsi="Arial" w:cs="Arial"/>
          <w:i w:val="0"/>
          <w:iCs w:val="0"/>
          <w:color w:val="auto"/>
          <w:sz w:val="22"/>
          <w:szCs w:val="22"/>
          <w:lang w:val="en-US"/>
        </w:rPr>
      </w:pPr>
      <w:r w:rsidRPr="001519D1">
        <w:rPr>
          <w:rFonts w:ascii="Arial" w:hAnsi="Arial" w:cs="Arial"/>
          <w:i w:val="0"/>
          <w:iCs w:val="0"/>
          <w:color w:val="auto"/>
          <w:sz w:val="22"/>
          <w:szCs w:val="22"/>
          <w:lang w:val="en-US"/>
        </w:rPr>
        <w:t xml:space="preserve">Figure </w:t>
      </w:r>
      <w:r w:rsidRPr="001519D1">
        <w:rPr>
          <w:rFonts w:ascii="Arial" w:hAnsi="Arial" w:cs="Arial"/>
          <w:i w:val="0"/>
          <w:iCs w:val="0"/>
          <w:color w:val="auto"/>
          <w:sz w:val="22"/>
          <w:szCs w:val="22"/>
        </w:rPr>
        <w:fldChar w:fldCharType="begin"/>
      </w:r>
      <w:r w:rsidRPr="001519D1">
        <w:rPr>
          <w:rFonts w:ascii="Arial" w:hAnsi="Arial" w:cs="Arial"/>
          <w:i w:val="0"/>
          <w:iCs w:val="0"/>
          <w:color w:val="auto"/>
          <w:sz w:val="22"/>
          <w:szCs w:val="22"/>
          <w:lang w:val="en-US"/>
        </w:rPr>
        <w:instrText xml:space="preserve"> SEQ Figure \* ARABIC </w:instrText>
      </w:r>
      <w:r w:rsidRPr="001519D1">
        <w:rPr>
          <w:rFonts w:ascii="Arial" w:hAnsi="Arial" w:cs="Arial"/>
          <w:i w:val="0"/>
          <w:iCs w:val="0"/>
          <w:color w:val="auto"/>
          <w:sz w:val="22"/>
          <w:szCs w:val="22"/>
        </w:rPr>
        <w:fldChar w:fldCharType="separate"/>
      </w:r>
      <w:r w:rsidRPr="001519D1">
        <w:rPr>
          <w:rFonts w:ascii="Arial" w:hAnsi="Arial" w:cs="Arial"/>
          <w:i w:val="0"/>
          <w:iCs w:val="0"/>
          <w:noProof/>
          <w:color w:val="auto"/>
          <w:sz w:val="22"/>
          <w:szCs w:val="22"/>
          <w:lang w:val="en-US"/>
        </w:rPr>
        <w:t>10</w:t>
      </w:r>
      <w:r w:rsidRPr="001519D1">
        <w:rPr>
          <w:rFonts w:ascii="Arial" w:hAnsi="Arial" w:cs="Arial"/>
          <w:i w:val="0"/>
          <w:iCs w:val="0"/>
          <w:color w:val="auto"/>
          <w:sz w:val="22"/>
          <w:szCs w:val="22"/>
        </w:rPr>
        <w:fldChar w:fldCharType="end"/>
      </w:r>
      <w:r w:rsidRPr="001519D1">
        <w:rPr>
          <w:rFonts w:ascii="Arial" w:hAnsi="Arial" w:cs="Arial"/>
          <w:i w:val="0"/>
          <w:iCs w:val="0"/>
          <w:color w:val="auto"/>
          <w:sz w:val="22"/>
          <w:szCs w:val="22"/>
          <w:lang w:val="en-US"/>
        </w:rPr>
        <w:t>.</w:t>
      </w:r>
      <w:r w:rsidRPr="001519D1">
        <w:rPr>
          <w:rFonts w:ascii="Arial" w:hAnsi="Arial" w:cs="Arial"/>
          <w:i w:val="0"/>
          <w:iCs w:val="0"/>
          <w:noProof/>
          <w:color w:val="auto"/>
          <w:sz w:val="22"/>
          <w:szCs w:val="22"/>
          <w:lang w:val="en-US"/>
        </w:rPr>
        <w:t xml:space="preserve"> Properties of the prepared slurries: (a) Z potential and (b) viscosity at 250 rpm.</w:t>
      </w:r>
    </w:p>
    <w:p w14:paraId="24F26C01" w14:textId="77777777" w:rsidR="00B32CFD" w:rsidRPr="001519D1" w:rsidRDefault="00B32CFD" w:rsidP="009821CA">
      <w:pPr>
        <w:spacing w:after="0" w:line="360" w:lineRule="auto"/>
        <w:rPr>
          <w:rFonts w:ascii="Arial" w:hAnsi="Arial" w:cs="Arial"/>
          <w:lang w:val="en-US"/>
        </w:rPr>
      </w:pPr>
    </w:p>
    <w:p w14:paraId="0326182A" w14:textId="7A9694BF" w:rsidR="009821CA" w:rsidRPr="001519D1" w:rsidRDefault="009821CA" w:rsidP="009821CA">
      <w:pPr>
        <w:spacing w:after="0" w:line="360" w:lineRule="auto"/>
        <w:rPr>
          <w:rFonts w:ascii="Arial" w:hAnsi="Arial" w:cs="Arial"/>
          <w:lang w:val="en-US"/>
        </w:rPr>
      </w:pPr>
      <w:r w:rsidRPr="001519D1">
        <w:rPr>
          <w:rFonts w:ascii="Arial" w:hAnsi="Arial" w:cs="Arial"/>
          <w:lang w:val="en-US"/>
        </w:rPr>
        <w:t xml:space="preserve">Then, the monoliths were impregnated following the process described in the experimental section until the PtCeAl catalyst loading was 0.1 g in both cases, it means, 0.1 g of PtCeAl and 0.6 g of PtCeAl + ZrEuMo_5 mixture of 1:5 mass ratio. Finally, the structured catalysts were subjected to an adherence test based on the one proposed by Yasaky </w:t>
      </w:r>
      <w:r w:rsidRPr="001519D1">
        <w:rPr>
          <w:rFonts w:ascii="Arial" w:hAnsi="Arial" w:cs="Arial"/>
          <w:i/>
          <w:iCs/>
          <w:lang w:val="en-US"/>
        </w:rPr>
        <w:t>et al</w:t>
      </w:r>
      <w:r w:rsidRPr="001519D1">
        <w:rPr>
          <w:rFonts w:ascii="Arial" w:hAnsi="Arial" w:cs="Arial"/>
          <w:lang w:val="en-US"/>
        </w:rPr>
        <w:t>.</w:t>
      </w:r>
      <w:r w:rsidR="006D48A6" w:rsidRPr="001519D1">
        <w:rPr>
          <w:rFonts w:ascii="Arial" w:hAnsi="Arial" w:cs="Arial"/>
          <w:lang w:val="en-US"/>
        </w:rPr>
        <w:t xml:space="preserve"> </w:t>
      </w:r>
      <w:r w:rsidR="006D48A6"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"ISBN" : "1763117634", "author" : [ { "dropping-particle" : "", "family" : "Yasaki", "given" : "Shigeru", "non-dropping-particle" : "", "parse-names" : false, "suffix" : "" }, { "dropping-particle" : "", "family" : "Yoshino", "given" : "Yasutaka", "non-dropping-particle" : "", "parse-names" : false, "suffix" : "" }, { "dropping-particle" : "", "family" : "Ihara", "given" : "Kazunori", "non-dropping-particle" : "", "parse-names" : false, "suffix" : "" }, { "dropping-particle" : "", "family" : "Ohkubo", "given" : "Kenji", "non-dropping-particle" : "", "parse-names" : false, "suffix" : "" } ], "id" : "ITEM-1", "issued" : { "date-parts" : [ [ "1993" ] ] }, "number" : "5,208,206", "page" : "1-10", "publisher-place" : "United States", "title" : "US Patent 5,208,206 Method of manufacturing an exhaust gas purifying catalyst", "type" : "patent" }, "uris" : [ "http://www.mendeley.com/documents/?uuid=7992de16-cd37-43a0-a3b4-6c3f5441a06b" ] } ], "mendeley" : { "formattedCitation" : "[41]", "plainTextFormattedCitation" : "[41]", "previouslyFormattedCitation" : "[41]" }, "properties" : { "noteIndex" : 0 }, "schema" : "https://github.com/citation-style-language/schema/raw/master/csl-citation.json" }</w:instrText>
      </w:r>
      <w:r w:rsidR="006D48A6" w:rsidRPr="001519D1">
        <w:rPr>
          <w:rFonts w:ascii="Arial" w:hAnsi="Arial" w:cs="Arial"/>
          <w:lang w:val="en-US"/>
        </w:rPr>
        <w:fldChar w:fldCharType="separate"/>
      </w:r>
      <w:r w:rsidR="00C76F86" w:rsidRPr="001519D1">
        <w:rPr>
          <w:rFonts w:ascii="Arial" w:hAnsi="Arial" w:cs="Arial"/>
          <w:noProof/>
          <w:lang w:val="en-US"/>
        </w:rPr>
        <w:t>[41]</w:t>
      </w:r>
      <w:r w:rsidR="006D48A6" w:rsidRPr="001519D1">
        <w:rPr>
          <w:rFonts w:ascii="Arial" w:hAnsi="Arial" w:cs="Arial"/>
          <w:lang w:val="en-US"/>
        </w:rPr>
        <w:fldChar w:fldCharType="end"/>
      </w:r>
      <w:r w:rsidRPr="001519D1">
        <w:rPr>
          <w:rFonts w:ascii="Arial" w:hAnsi="Arial" w:cs="Arial"/>
          <w:lang w:val="en-US"/>
        </w:rPr>
        <w:t xml:space="preserve"> (see experimental section). The adherence based on the difference in weight of the loading on the micromonolith measured before and after the adherence test is summarized in Table 2. The weight losses (around 5 %) are acceptable and comparable to those studied by Frias </w:t>
      </w:r>
      <w:r w:rsidRPr="001519D1">
        <w:rPr>
          <w:rFonts w:ascii="Arial" w:hAnsi="Arial" w:cs="Arial"/>
          <w:i/>
          <w:iCs/>
          <w:lang w:val="en-US"/>
        </w:rPr>
        <w:t>et al</w:t>
      </w:r>
      <w:r w:rsidRPr="001519D1">
        <w:rPr>
          <w:rFonts w:ascii="Arial" w:hAnsi="Arial" w:cs="Arial"/>
          <w:lang w:val="en-US"/>
        </w:rPr>
        <w:t>.</w:t>
      </w:r>
      <w:r w:rsidR="006D48A6" w:rsidRPr="001519D1">
        <w:rPr>
          <w:rFonts w:ascii="Arial" w:hAnsi="Arial" w:cs="Arial"/>
          <w:lang w:val="en-US"/>
        </w:rPr>
        <w:t xml:space="preserve"> </w:t>
      </w:r>
      <w:r w:rsidR="006D48A6"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"10.1016/j.apcata.2007.02.038", "ISSN" : "0926860X", "abstract" : "The use of austenitic stainless steel (AISI 304) as metallic substrate for catalytic devices is explored in this work as well as an alternative procedure to the washcoating of the active phase. Catalyst deposition on austenitic stainless steel takes advantage of the manganese concentration of this alloy by direct growing of the new catalytic phase on the monolith surface during the synthesis. Manganese oxide (OMS) is chosen as active phase and VOC abatement by total oxidation as catalytic test. It is possible to coat metallic monoliths by growing the catalytic phase, manganese oxide (OMS), in situ during the reflux synthesis of cryptomelane. This preparation strategy needs a proper metal surface modification but is possible to deposit a large amount of catalyst in a very adherent form. The metallic coating shows similar adherences to those found using Fecralloy substrates even thought, in the case of the monolith prepared by repeated washcoating on AISI 304, new phases seem to be produced showing quite higher activity in total oxidation of ethyl acetate. \u00a9 2007 Elsevier B.V. All rights reserved.", "author" : [ { "dropping-particle" : "", "family" : "Fr\u00edas", "given" : "D.M.", "non-dropping-particle" : "", "parse-names" : false, "suffix" : "" }, { "dropping-particle" : "", "family" : "Nousir", "given" : "S.", "non-dropping-particle" : "", "parse-names" : false, "suffix" : "" }, { "dropping-particle" : "", "family" : "Barrio", "given" : "I.", "non-dropping-particle" : "", "parse-names" : false, "suffix" : "" }, { "dropping-particle" : "", "family" : "Montes", "given" : "M.", "non-dropping-particle" : "", "parse-names" : false, "suffix" : "" }, { "dropping-particle" : "", "family" : "Mart\u00ednez T.", "given" : "L.M.", "non-dropping-particle" : "", "parse-names" : false, "suffix" : "" }, { "dropping-particle" : "", "family" : "Centeno", "given" : "M.A.", "non-dropping-particle" : "", "parse-names" : false, "suffix" : "" }, { "dropping-particle" : "", "family" : "Odriozola", "given" : "J.A.", "non-dropping-particle" : "", "parse-names" : false, "suffix" : "" } ], "container-title" : "Applied Catalysis A: General", "id" : "ITEM-1", "issue" : "2", "issued" : { "date-parts" : [ [ "2007" ] ] }, "page" : "205-212", "title" : "Nucleation and growth of manganese oxides on metallic surfaces as a tool to prepare metallic monoliths", "type" : "article-journal", "volume" : "325" }, "uris" : [ "http://www.mendeley.com/documents/?uuid=09605a8d-08dc-4938-83c6-421b46504808" ] } ], "mendeley" : { "formattedCitation" : "[72]", "plainTextFormattedCitation" : "[72]", "previouslyFormattedCitation" : "[72]" }, "properties" : { "noteIndex" : 0 }, "schema" : "https://github.com/citation-style-language/schema/raw/master/csl-citation.json" }</w:instrText>
      </w:r>
      <w:r w:rsidR="006D48A6" w:rsidRPr="001519D1">
        <w:rPr>
          <w:rFonts w:ascii="Arial" w:hAnsi="Arial" w:cs="Arial"/>
          <w:lang w:val="en-US"/>
        </w:rPr>
        <w:fldChar w:fldCharType="separate"/>
      </w:r>
      <w:r w:rsidR="00C76F86" w:rsidRPr="001519D1">
        <w:rPr>
          <w:rFonts w:ascii="Arial" w:hAnsi="Arial" w:cs="Arial"/>
          <w:noProof/>
          <w:lang w:val="en-US"/>
        </w:rPr>
        <w:t>[72]</w:t>
      </w:r>
      <w:r w:rsidR="006D48A6" w:rsidRPr="001519D1">
        <w:rPr>
          <w:rFonts w:ascii="Arial" w:hAnsi="Arial" w:cs="Arial"/>
          <w:lang w:val="en-US"/>
        </w:rPr>
        <w:fldChar w:fldCharType="end"/>
      </w:r>
      <w:r w:rsidRPr="001519D1">
        <w:rPr>
          <w:rFonts w:ascii="Arial" w:hAnsi="Arial" w:cs="Arial"/>
          <w:lang w:val="en-US"/>
        </w:rPr>
        <w:t xml:space="preserve"> for similar structured systems and within the conventional limits for good adherence</w:t>
      </w:r>
      <w:r w:rsidR="006D48A6" w:rsidRPr="001519D1">
        <w:rPr>
          <w:rFonts w:ascii="Arial" w:hAnsi="Arial" w:cs="Arial"/>
          <w:lang w:val="en-US"/>
        </w:rPr>
        <w:t xml:space="preserve"> </w:t>
      </w:r>
      <w:r w:rsidR="006D48A6"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"10.1016/S0167-2991(10)75004-7", "ISBN" : "9780444536013", "ISSN" : "01672991", "abstract" : "The most important parameters controlling the washcoating of metallic structures from catalytic slurries are reviewed. The slurry must be stable with adequate rheological properties controlled by the solid content, particle size and additives. The metallic substrate must be pre-treated to obtain an adherent surface scale compatible with the coating and presenting appropriate surface roughness. The quality of the produced coating (homogeneity, specific load and adherence) depends essentially on slurry properties (viscosity and solid content) and on the technique used to remove slurry excess. \u00a9 2010 Elsevier B.V. All rights reserved.", "author" : [ { "dropping-particle" : "", "family" : "Almeida", "given" : "L.C.", "non-dropping-particle" : "", "parse-names" : false, "suffix" : "" }, { "dropping-particle" : "", "family" : "Echave", "given" : "F.J.", "non-dropping-particle" : "", "parse-names" : false, "suffix" : "" }, { "dropping-particle" : "", "family" : "Sanz", "given" : "O.", "non-dropping-particle" : "", "parse-names" : false, "suffix" : "" }, { "dropping-particle" : "", "family" : "Centeno", "given" : "M.A.", "non-dropping-particle" : "", "parse-names" : false, "suffix" : "" }, { "dropping-particle" : "", "family" : "Odriozola", "given" : "J.A.", "non-dropping-particle" : "", "parse-names" : false, "suffix" : "" }, { "dropping-particle" : "", "family" : "Montes", "given" : "M.", "non-dropping-particle" : "", "parse-names" : false, "suffix" : "" } ], "container-title" : "Studies in Surface Science and Catalysis", "editor" : [ { "dropping-particle" : "", "family" : "Gaigneaux", "given" : "E.M.", "non-dropping-particle" : "", "parse-names" : false, "suffix" : "" }, { "dropping-particle" : "", "family" : "Devillers", "given" : "M.", "non-dropping-particle" : "", "parse-names" : false, "suffix" : "" }, { "dropping-particle" : "", "family" : "Hermans", "given" : "S.", "non-dropping-particle" : "", "parse-names" : false, "suffix" : "" }, { "dropping-particle" : "", "family" : "Jacobs", "given" : "P.", "non-dropping-particle" : "", "parse-names" : false, "suffix" : "" }, { "dropping-particle" : "", "family" : "Martens", "given" : "J.", "non-dropping-particle" : "", "parse-names" : false, "suffix" : "" }, { "dropping-particle" : "", "family" : "Ruiz", "given" : "P.", "non-dropping-particle" : "", "parse-names" : false, "suffix" : "" } ], "id" : "ITEM-1", "issued" : { "date-parts" : [ [ "2010" ] ] }, "number-of-pages" : "25-33", "publisher" : "Elsevier B.V.", "title" : "Washcoating of metallic monoliths and microchannel reactors", "type" : "book", "volume" : "175" }, "uris" : [ "http://www.mendeley.com/documents/?uuid=6f999133-fbb9-4c23-95c8-d78417d524b4" ] } ], "mendeley" : { "formattedCitation" : "[40]", "plainTextFormattedCitation" : "[40]", "previouslyFormattedCitation" : "[40]" }, "properties" : { "noteIndex" : 0 }, "schema" : "https://github.com/citation-style-language/schema/raw/master/csl-citation.json" }</w:instrText>
      </w:r>
      <w:r w:rsidR="006D48A6" w:rsidRPr="001519D1">
        <w:rPr>
          <w:rFonts w:ascii="Arial" w:hAnsi="Arial" w:cs="Arial"/>
          <w:lang w:val="en-US"/>
        </w:rPr>
        <w:fldChar w:fldCharType="separate"/>
      </w:r>
      <w:r w:rsidR="00C76F86" w:rsidRPr="001519D1">
        <w:rPr>
          <w:rFonts w:ascii="Arial" w:hAnsi="Arial" w:cs="Arial"/>
          <w:noProof/>
          <w:lang w:val="en-US"/>
        </w:rPr>
        <w:t>[40]</w:t>
      </w:r>
      <w:r w:rsidR="006D48A6" w:rsidRPr="001519D1">
        <w:rPr>
          <w:rFonts w:ascii="Arial" w:hAnsi="Arial" w:cs="Arial"/>
          <w:lang w:val="en-US"/>
        </w:rPr>
        <w:fldChar w:fldCharType="end"/>
      </w:r>
      <w:r w:rsidR="006D48A6" w:rsidRPr="001519D1">
        <w:rPr>
          <w:rFonts w:ascii="Arial" w:hAnsi="Arial" w:cs="Arial"/>
          <w:lang w:val="en-US"/>
        </w:rPr>
        <w:t>.</w:t>
      </w:r>
    </w:p>
    <w:p w14:paraId="6779C6C4" w14:textId="77777777" w:rsidR="009821CA" w:rsidRPr="001519D1" w:rsidRDefault="009821CA" w:rsidP="009821CA">
      <w:pPr>
        <w:spacing w:after="0" w:line="360" w:lineRule="auto"/>
        <w:rPr>
          <w:rFonts w:ascii="Arial" w:hAnsi="Arial" w:cs="Arial"/>
          <w:lang w:val="en-US"/>
        </w:rPr>
      </w:pPr>
    </w:p>
    <w:p w14:paraId="45CB404C" w14:textId="1D739885" w:rsidR="009821CA" w:rsidRPr="001519D1" w:rsidRDefault="009821CA" w:rsidP="009821CA">
      <w:pPr>
        <w:spacing w:after="0" w:line="360" w:lineRule="auto"/>
        <w:rPr>
          <w:rFonts w:ascii="Arial" w:hAnsi="Arial" w:cs="Arial"/>
          <w:lang w:val="en-US"/>
        </w:rPr>
      </w:pPr>
      <w:r w:rsidRPr="001519D1">
        <w:rPr>
          <w:rFonts w:ascii="Arial" w:hAnsi="Arial" w:cs="Arial"/>
          <w:lang w:val="en-US"/>
        </w:rPr>
        <w:t>After the washcoating process, the remaining slurries were dried and calcined in the same conditions as loaded micromonoliths. The calcined slurries were then analy</w:t>
      </w:r>
      <w:r w:rsidR="001D45E2" w:rsidRPr="001519D1">
        <w:rPr>
          <w:rFonts w:ascii="Arial" w:hAnsi="Arial" w:cs="Arial"/>
          <w:lang w:val="en-US"/>
        </w:rPr>
        <w:t>z</w:t>
      </w:r>
      <w:r w:rsidRPr="001519D1">
        <w:rPr>
          <w:rFonts w:ascii="Arial" w:hAnsi="Arial" w:cs="Arial"/>
          <w:lang w:val="en-US"/>
        </w:rPr>
        <w:t>ed by XRD in order to compare them with the original powders and to observe if any modification during the coating process occurs. The intensities and positions of the diffraction peaks of both samples (m_PtCeAl and the m_PtCeAl+ZrEuMo_5) are not modified by the slurry preparation and all present phases are preserved for the structured catalysts as expected (Figure 11).</w:t>
      </w:r>
    </w:p>
    <w:p w14:paraId="216E6E17" w14:textId="33BD6126" w:rsidR="00B32CFD" w:rsidRPr="001519D1" w:rsidRDefault="00B32CFD" w:rsidP="009821CA">
      <w:pPr>
        <w:spacing w:after="0" w:line="360" w:lineRule="auto"/>
        <w:rPr>
          <w:rFonts w:ascii="Arial" w:hAnsi="Arial" w:cs="Arial"/>
          <w:lang w:val="en-US"/>
        </w:rPr>
      </w:pPr>
    </w:p>
    <w:p w14:paraId="09090140" w14:textId="77777777" w:rsidR="00AB59A7" w:rsidRPr="001519D1" w:rsidRDefault="00AB59A7" w:rsidP="00AB59A7">
      <w:pPr>
        <w:keepNext/>
        <w:spacing w:after="0" w:line="360" w:lineRule="auto"/>
        <w:rPr>
          <w:lang w:val="en-US"/>
        </w:rPr>
      </w:pPr>
      <w:r w:rsidRPr="001519D1">
        <w:rPr>
          <w:rFonts w:ascii="Arial" w:hAnsi="Arial" w:cs="Arial"/>
          <w:noProof/>
          <w:lang w:val="es-ES" w:eastAsia="es-ES"/>
        </w:rPr>
        <w:lastRenderedPageBreak/>
        <w:drawing>
          <wp:inline distT="0" distB="0" distL="0" distR="0" wp14:anchorId="54CF43EA" wp14:editId="2E6D442C">
            <wp:extent cx="2895600" cy="2054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2054225"/>
                    </a:xfrm>
                    <a:prstGeom prst="rect">
                      <a:avLst/>
                    </a:prstGeom>
                    <a:noFill/>
                  </pic:spPr>
                </pic:pic>
              </a:graphicData>
            </a:graphic>
          </wp:inline>
        </w:drawing>
      </w:r>
    </w:p>
    <w:p w14:paraId="7442A1C3" w14:textId="44901584" w:rsidR="00AB59A7" w:rsidRPr="001519D1" w:rsidRDefault="00AB59A7" w:rsidP="00AB59A7">
      <w:pPr>
        <w:pStyle w:val="Descripcin"/>
        <w:rPr>
          <w:rFonts w:ascii="Arial" w:hAnsi="Arial" w:cs="Arial"/>
          <w:i w:val="0"/>
          <w:iCs w:val="0"/>
          <w:color w:val="auto"/>
          <w:sz w:val="22"/>
          <w:szCs w:val="22"/>
          <w:lang w:val="en-US"/>
        </w:rPr>
      </w:pPr>
      <w:r w:rsidRPr="001519D1">
        <w:rPr>
          <w:rFonts w:ascii="Arial" w:hAnsi="Arial" w:cs="Arial"/>
          <w:i w:val="0"/>
          <w:iCs w:val="0"/>
          <w:color w:val="auto"/>
          <w:sz w:val="22"/>
          <w:szCs w:val="22"/>
          <w:lang w:val="en-US"/>
        </w:rPr>
        <w:t xml:space="preserve">Figure </w:t>
      </w:r>
      <w:r w:rsidRPr="001519D1">
        <w:rPr>
          <w:rFonts w:ascii="Arial" w:hAnsi="Arial" w:cs="Arial"/>
          <w:i w:val="0"/>
          <w:iCs w:val="0"/>
          <w:color w:val="auto"/>
          <w:sz w:val="22"/>
          <w:szCs w:val="22"/>
        </w:rPr>
        <w:fldChar w:fldCharType="begin"/>
      </w:r>
      <w:r w:rsidRPr="001519D1">
        <w:rPr>
          <w:rFonts w:ascii="Arial" w:hAnsi="Arial" w:cs="Arial"/>
          <w:i w:val="0"/>
          <w:iCs w:val="0"/>
          <w:color w:val="auto"/>
          <w:sz w:val="22"/>
          <w:szCs w:val="22"/>
          <w:lang w:val="en-US"/>
        </w:rPr>
        <w:instrText xml:space="preserve"> SEQ Figure \* ARABIC </w:instrText>
      </w:r>
      <w:r w:rsidRPr="001519D1">
        <w:rPr>
          <w:rFonts w:ascii="Arial" w:hAnsi="Arial" w:cs="Arial"/>
          <w:i w:val="0"/>
          <w:iCs w:val="0"/>
          <w:color w:val="auto"/>
          <w:sz w:val="22"/>
          <w:szCs w:val="22"/>
        </w:rPr>
        <w:fldChar w:fldCharType="separate"/>
      </w:r>
      <w:r w:rsidRPr="001519D1">
        <w:rPr>
          <w:rFonts w:ascii="Arial" w:hAnsi="Arial" w:cs="Arial"/>
          <w:i w:val="0"/>
          <w:iCs w:val="0"/>
          <w:noProof/>
          <w:color w:val="auto"/>
          <w:sz w:val="22"/>
          <w:szCs w:val="22"/>
          <w:lang w:val="en-US"/>
        </w:rPr>
        <w:t>11</w:t>
      </w:r>
      <w:r w:rsidRPr="001519D1">
        <w:rPr>
          <w:rFonts w:ascii="Arial" w:hAnsi="Arial" w:cs="Arial"/>
          <w:i w:val="0"/>
          <w:iCs w:val="0"/>
          <w:color w:val="auto"/>
          <w:sz w:val="22"/>
          <w:szCs w:val="22"/>
        </w:rPr>
        <w:fldChar w:fldCharType="end"/>
      </w:r>
      <w:r w:rsidRPr="001519D1">
        <w:rPr>
          <w:rFonts w:ascii="Arial" w:hAnsi="Arial" w:cs="Arial"/>
          <w:i w:val="0"/>
          <w:iCs w:val="0"/>
          <w:color w:val="auto"/>
          <w:sz w:val="22"/>
          <w:szCs w:val="22"/>
          <w:lang w:val="en-US"/>
        </w:rPr>
        <w:t>.</w:t>
      </w:r>
      <w:r w:rsidRPr="001519D1">
        <w:rPr>
          <w:rFonts w:ascii="Arial" w:hAnsi="Arial" w:cs="Arial"/>
          <w:i w:val="0"/>
          <w:iCs w:val="0"/>
          <w:noProof/>
          <w:color w:val="auto"/>
          <w:sz w:val="22"/>
          <w:szCs w:val="22"/>
          <w:lang w:val="en-US"/>
        </w:rPr>
        <w:t xml:space="preserve"> Diffraction patterns of the dried and calcined remaining slurries after whascoating process and the XRD of their original powders for comparison.</w:t>
      </w:r>
    </w:p>
    <w:p w14:paraId="427FD7B1" w14:textId="77777777" w:rsidR="00AB59A7" w:rsidRPr="001519D1" w:rsidRDefault="00AB59A7" w:rsidP="009821CA">
      <w:pPr>
        <w:spacing w:after="0" w:line="360" w:lineRule="auto"/>
        <w:rPr>
          <w:rFonts w:ascii="Arial" w:hAnsi="Arial" w:cs="Arial"/>
          <w:lang w:val="en-US"/>
        </w:rPr>
      </w:pPr>
    </w:p>
    <w:p w14:paraId="248230F7" w14:textId="76AEDA9D" w:rsidR="00B32CFD" w:rsidRPr="001519D1" w:rsidRDefault="00B32CFD" w:rsidP="009821CA">
      <w:pPr>
        <w:spacing w:after="0" w:line="360" w:lineRule="auto"/>
        <w:rPr>
          <w:rFonts w:ascii="Arial" w:hAnsi="Arial" w:cs="Arial"/>
          <w:lang w:val="en-US"/>
        </w:rPr>
      </w:pPr>
      <w:r w:rsidRPr="001519D1">
        <w:rPr>
          <w:rFonts w:ascii="Arial" w:hAnsi="Arial" w:cs="Arial"/>
          <w:lang w:val="en-US"/>
        </w:rPr>
        <w:t>The structured catalysts were analy</w:t>
      </w:r>
      <w:r w:rsidR="001D45E2" w:rsidRPr="001519D1">
        <w:rPr>
          <w:rFonts w:ascii="Arial" w:hAnsi="Arial" w:cs="Arial"/>
          <w:lang w:val="en-US"/>
        </w:rPr>
        <w:t>z</w:t>
      </w:r>
      <w:r w:rsidRPr="001519D1">
        <w:rPr>
          <w:rFonts w:ascii="Arial" w:hAnsi="Arial" w:cs="Arial"/>
          <w:lang w:val="en-US"/>
        </w:rPr>
        <w:t>ed by N</w:t>
      </w:r>
      <w:r w:rsidRPr="001519D1">
        <w:rPr>
          <w:rFonts w:ascii="Arial" w:hAnsi="Arial" w:cs="Arial"/>
          <w:vertAlign w:val="subscript"/>
          <w:lang w:val="en-US"/>
        </w:rPr>
        <w:t>2</w:t>
      </w:r>
      <w:r w:rsidRPr="001519D1">
        <w:rPr>
          <w:rFonts w:ascii="Arial" w:hAnsi="Arial" w:cs="Arial"/>
          <w:lang w:val="en-US"/>
        </w:rPr>
        <w:t xml:space="preserve"> adsorption (Table 3). A slightly increase of the specific surface of the m_PtCeAl catalyst respect to the original powder (see Table 1) was observed, due to the addition of colloidal alumina for the slurry stabilization. On the other side, the specific surface of m_PtCeAl+ZrEuMo sample was compared to the calculated value for the original powders (PtCeAl and ZrEuMo) considering the mass proportion of 1:5. These values are 80 m</w:t>
      </w:r>
      <w:r w:rsidRPr="001519D1">
        <w:rPr>
          <w:rFonts w:ascii="Arial" w:hAnsi="Arial" w:cs="Arial"/>
          <w:vertAlign w:val="superscript"/>
          <w:lang w:val="en-US"/>
        </w:rPr>
        <w:t>2</w:t>
      </w:r>
      <w:r w:rsidRPr="001519D1">
        <w:rPr>
          <w:rFonts w:ascii="Arial" w:hAnsi="Arial" w:cs="Arial"/>
          <w:lang w:val="en-US"/>
        </w:rPr>
        <w:t>/g of S</w:t>
      </w:r>
      <w:r w:rsidRPr="001519D1">
        <w:rPr>
          <w:rFonts w:ascii="Arial" w:hAnsi="Arial" w:cs="Arial"/>
          <w:vertAlign w:val="subscript"/>
          <w:lang w:val="en-US"/>
        </w:rPr>
        <w:t>BET</w:t>
      </w:r>
      <w:r w:rsidRPr="001519D1">
        <w:rPr>
          <w:rFonts w:ascii="Arial" w:hAnsi="Arial" w:cs="Arial"/>
          <w:lang w:val="en-US"/>
        </w:rPr>
        <w:t>, 0.09 cm</w:t>
      </w:r>
      <w:r w:rsidRPr="001519D1">
        <w:rPr>
          <w:rFonts w:ascii="Arial" w:hAnsi="Arial" w:cs="Arial"/>
          <w:vertAlign w:val="superscript"/>
          <w:lang w:val="en-US"/>
        </w:rPr>
        <w:t>3</w:t>
      </w:r>
      <w:r w:rsidRPr="001519D1">
        <w:rPr>
          <w:rFonts w:ascii="Arial" w:hAnsi="Arial" w:cs="Arial"/>
          <w:lang w:val="en-US"/>
        </w:rPr>
        <w:t>/g of porous volume and 3.473 nm of porous diameter. The value of 5.3 nm as pore size provide from the contribution of two pore sizes found in the distribution plot (data not shown), where distinguished fractions at ~3 nm and at ~8 nm appears corresponding to the initial pore sizes of the original ZrEuMo_5 and PtCeAl powders, respectively (see Table 1).</w:t>
      </w:r>
    </w:p>
    <w:p w14:paraId="7A4961F3" w14:textId="77777777" w:rsidR="00AB59A7" w:rsidRPr="001519D1" w:rsidRDefault="00AB59A7" w:rsidP="009821CA">
      <w:pPr>
        <w:spacing w:after="0" w:line="360" w:lineRule="auto"/>
        <w:rPr>
          <w:rFonts w:ascii="Arial" w:hAnsi="Arial" w:cs="Arial"/>
          <w:lang w:val="en-US"/>
        </w:rPr>
      </w:pPr>
    </w:p>
    <w:p w14:paraId="17E5B3C3" w14:textId="2D75AAD3" w:rsidR="00AB59A7" w:rsidRPr="001519D1" w:rsidRDefault="00AB59A7" w:rsidP="00AB59A7">
      <w:pPr>
        <w:pStyle w:val="Descripcin"/>
        <w:keepNext/>
        <w:rPr>
          <w:rFonts w:ascii="Arial" w:hAnsi="Arial" w:cs="Arial"/>
          <w:i w:val="0"/>
          <w:iCs w:val="0"/>
          <w:color w:val="auto"/>
          <w:sz w:val="22"/>
          <w:szCs w:val="22"/>
          <w:lang w:val="en-US"/>
        </w:rPr>
      </w:pPr>
      <w:r w:rsidRPr="001519D1">
        <w:rPr>
          <w:rFonts w:ascii="Arial" w:hAnsi="Arial" w:cs="Arial"/>
          <w:i w:val="0"/>
          <w:iCs w:val="0"/>
          <w:color w:val="auto"/>
          <w:sz w:val="22"/>
          <w:szCs w:val="22"/>
          <w:lang w:val="en-US"/>
        </w:rPr>
        <w:t xml:space="preserve">Table </w:t>
      </w:r>
      <w:r w:rsidRPr="001519D1">
        <w:rPr>
          <w:rFonts w:ascii="Arial" w:hAnsi="Arial" w:cs="Arial"/>
          <w:i w:val="0"/>
          <w:iCs w:val="0"/>
          <w:color w:val="auto"/>
          <w:sz w:val="22"/>
          <w:szCs w:val="22"/>
        </w:rPr>
        <w:fldChar w:fldCharType="begin"/>
      </w:r>
      <w:r w:rsidRPr="001519D1">
        <w:rPr>
          <w:rFonts w:ascii="Arial" w:hAnsi="Arial" w:cs="Arial"/>
          <w:i w:val="0"/>
          <w:iCs w:val="0"/>
          <w:color w:val="auto"/>
          <w:sz w:val="22"/>
          <w:szCs w:val="22"/>
          <w:lang w:val="en-US"/>
        </w:rPr>
        <w:instrText xml:space="preserve"> SEQ Table \* ARABIC </w:instrText>
      </w:r>
      <w:r w:rsidRPr="001519D1">
        <w:rPr>
          <w:rFonts w:ascii="Arial" w:hAnsi="Arial" w:cs="Arial"/>
          <w:i w:val="0"/>
          <w:iCs w:val="0"/>
          <w:color w:val="auto"/>
          <w:sz w:val="22"/>
          <w:szCs w:val="22"/>
        </w:rPr>
        <w:fldChar w:fldCharType="separate"/>
      </w:r>
      <w:r w:rsidRPr="001519D1">
        <w:rPr>
          <w:rFonts w:ascii="Arial" w:hAnsi="Arial" w:cs="Arial"/>
          <w:i w:val="0"/>
          <w:iCs w:val="0"/>
          <w:noProof/>
          <w:color w:val="auto"/>
          <w:sz w:val="22"/>
          <w:szCs w:val="22"/>
          <w:lang w:val="en-US"/>
        </w:rPr>
        <w:t>3</w:t>
      </w:r>
      <w:r w:rsidRPr="001519D1">
        <w:rPr>
          <w:rFonts w:ascii="Arial" w:hAnsi="Arial" w:cs="Arial"/>
          <w:i w:val="0"/>
          <w:iCs w:val="0"/>
          <w:color w:val="auto"/>
          <w:sz w:val="22"/>
          <w:szCs w:val="22"/>
        </w:rPr>
        <w:fldChar w:fldCharType="end"/>
      </w:r>
      <w:r w:rsidRPr="001519D1">
        <w:rPr>
          <w:rFonts w:ascii="Arial" w:hAnsi="Arial" w:cs="Arial"/>
          <w:i w:val="0"/>
          <w:iCs w:val="0"/>
          <w:color w:val="auto"/>
          <w:sz w:val="22"/>
          <w:szCs w:val="22"/>
          <w:lang w:val="en-US"/>
        </w:rPr>
        <w:t>.</w:t>
      </w:r>
      <w:r w:rsidRPr="001519D1">
        <w:rPr>
          <w:rFonts w:ascii="Arial" w:hAnsi="Arial" w:cs="Arial"/>
          <w:i w:val="0"/>
          <w:iCs w:val="0"/>
          <w:noProof/>
          <w:color w:val="auto"/>
          <w:sz w:val="22"/>
          <w:szCs w:val="22"/>
          <w:lang w:val="en-US"/>
        </w:rPr>
        <w:t xml:space="preserve"> Textural properties of the structured catalysts and the calculated theoretical thickness of loaded catalytic layers.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1040"/>
        <w:gridCol w:w="1134"/>
        <w:gridCol w:w="851"/>
        <w:gridCol w:w="2126"/>
      </w:tblGrid>
      <w:tr w:rsidR="00B32CFD" w:rsidRPr="001519D1" w14:paraId="16364F8A" w14:textId="77777777" w:rsidTr="00AB59A7">
        <w:trPr>
          <w:jc w:val="center"/>
        </w:trPr>
        <w:tc>
          <w:tcPr>
            <w:tcW w:w="2362" w:type="dxa"/>
            <w:tcBorders>
              <w:bottom w:val="single" w:sz="12" w:space="0" w:color="auto"/>
            </w:tcBorders>
            <w:vAlign w:val="center"/>
          </w:tcPr>
          <w:p w14:paraId="319D2795" w14:textId="77777777" w:rsidR="00B32CFD" w:rsidRPr="001519D1" w:rsidRDefault="00B32CFD" w:rsidP="000B1F92">
            <w:pPr>
              <w:jc w:val="center"/>
              <w:rPr>
                <w:rFonts w:ascii="Arial" w:hAnsi="Arial" w:cs="Arial"/>
              </w:rPr>
            </w:pPr>
            <w:r w:rsidRPr="001519D1">
              <w:rPr>
                <w:rFonts w:ascii="Arial" w:hAnsi="Arial" w:cs="Arial"/>
              </w:rPr>
              <w:t>Structured sample</w:t>
            </w:r>
          </w:p>
        </w:tc>
        <w:tc>
          <w:tcPr>
            <w:tcW w:w="1040" w:type="dxa"/>
            <w:tcBorders>
              <w:bottom w:val="single" w:sz="12" w:space="0" w:color="auto"/>
            </w:tcBorders>
            <w:vAlign w:val="center"/>
          </w:tcPr>
          <w:p w14:paraId="75044D47" w14:textId="77777777" w:rsidR="00B32CFD" w:rsidRPr="001519D1" w:rsidRDefault="00B32CFD" w:rsidP="000B1F92">
            <w:pPr>
              <w:jc w:val="center"/>
              <w:rPr>
                <w:rFonts w:ascii="Arial" w:hAnsi="Arial" w:cs="Arial"/>
              </w:rPr>
            </w:pPr>
            <w:r w:rsidRPr="001519D1">
              <w:rPr>
                <w:rFonts w:ascii="Arial" w:hAnsi="Arial" w:cs="Arial"/>
              </w:rPr>
              <w:t>S</w:t>
            </w:r>
            <w:r w:rsidRPr="001519D1">
              <w:rPr>
                <w:rFonts w:ascii="Arial" w:hAnsi="Arial" w:cs="Arial"/>
                <w:vertAlign w:val="subscript"/>
              </w:rPr>
              <w:t>BET</w:t>
            </w:r>
            <w:r w:rsidRPr="001519D1">
              <w:rPr>
                <w:rFonts w:ascii="Arial" w:hAnsi="Arial" w:cs="Arial"/>
              </w:rPr>
              <w:t xml:space="preserve"> (m</w:t>
            </w:r>
            <w:r w:rsidRPr="001519D1">
              <w:rPr>
                <w:rFonts w:ascii="Arial" w:hAnsi="Arial" w:cs="Arial"/>
                <w:vertAlign w:val="superscript"/>
              </w:rPr>
              <w:t>2</w:t>
            </w:r>
            <w:r w:rsidRPr="001519D1">
              <w:rPr>
                <w:rFonts w:ascii="Arial" w:hAnsi="Arial" w:cs="Arial"/>
              </w:rPr>
              <w:t>/g)</w:t>
            </w:r>
          </w:p>
        </w:tc>
        <w:tc>
          <w:tcPr>
            <w:tcW w:w="1134" w:type="dxa"/>
            <w:tcBorders>
              <w:bottom w:val="single" w:sz="12" w:space="0" w:color="auto"/>
            </w:tcBorders>
            <w:vAlign w:val="center"/>
          </w:tcPr>
          <w:p w14:paraId="411587F1" w14:textId="77777777" w:rsidR="00B32CFD" w:rsidRPr="001519D1" w:rsidRDefault="00B32CFD" w:rsidP="000B1F92">
            <w:pPr>
              <w:jc w:val="center"/>
              <w:rPr>
                <w:rFonts w:ascii="Arial" w:hAnsi="Arial" w:cs="Arial"/>
              </w:rPr>
            </w:pPr>
            <w:r w:rsidRPr="001519D1">
              <w:rPr>
                <w:rFonts w:ascii="Arial" w:hAnsi="Arial" w:cs="Arial"/>
              </w:rPr>
              <w:t>V</w:t>
            </w:r>
            <w:r w:rsidRPr="001519D1">
              <w:rPr>
                <w:rFonts w:ascii="Arial" w:hAnsi="Arial" w:cs="Arial"/>
                <w:vertAlign w:val="subscript"/>
              </w:rPr>
              <w:t>p</w:t>
            </w:r>
            <w:r w:rsidRPr="001519D1">
              <w:rPr>
                <w:rFonts w:ascii="Arial" w:hAnsi="Arial" w:cs="Arial"/>
              </w:rPr>
              <w:t xml:space="preserve"> (cm</w:t>
            </w:r>
            <w:r w:rsidRPr="001519D1">
              <w:rPr>
                <w:rFonts w:ascii="Arial" w:hAnsi="Arial" w:cs="Arial"/>
                <w:vertAlign w:val="superscript"/>
              </w:rPr>
              <w:t>3</w:t>
            </w:r>
            <w:r w:rsidRPr="001519D1">
              <w:rPr>
                <w:rFonts w:ascii="Arial" w:hAnsi="Arial" w:cs="Arial"/>
              </w:rPr>
              <w:t>/g)</w:t>
            </w:r>
          </w:p>
        </w:tc>
        <w:tc>
          <w:tcPr>
            <w:tcW w:w="851" w:type="dxa"/>
            <w:tcBorders>
              <w:bottom w:val="single" w:sz="12" w:space="0" w:color="auto"/>
            </w:tcBorders>
            <w:vAlign w:val="center"/>
          </w:tcPr>
          <w:p w14:paraId="720CF8CC" w14:textId="77777777" w:rsidR="00B32CFD" w:rsidRPr="001519D1" w:rsidRDefault="00B32CFD" w:rsidP="000B1F92">
            <w:pPr>
              <w:jc w:val="center"/>
              <w:rPr>
                <w:rFonts w:ascii="Arial" w:hAnsi="Arial" w:cs="Arial"/>
              </w:rPr>
            </w:pPr>
            <w:r w:rsidRPr="001519D1">
              <w:rPr>
                <w:rFonts w:ascii="Arial" w:hAnsi="Arial" w:cs="Arial"/>
              </w:rPr>
              <w:t>Ø</w:t>
            </w:r>
            <w:r w:rsidRPr="001519D1">
              <w:rPr>
                <w:rFonts w:ascii="Arial" w:hAnsi="Arial" w:cs="Arial"/>
                <w:vertAlign w:val="subscript"/>
              </w:rPr>
              <w:t>p</w:t>
            </w:r>
            <w:r w:rsidRPr="001519D1">
              <w:rPr>
                <w:rFonts w:ascii="Arial" w:hAnsi="Arial" w:cs="Arial"/>
              </w:rPr>
              <w:t xml:space="preserve"> (nm)</w:t>
            </w:r>
          </w:p>
        </w:tc>
        <w:tc>
          <w:tcPr>
            <w:tcW w:w="2126" w:type="dxa"/>
            <w:tcBorders>
              <w:bottom w:val="single" w:sz="12" w:space="0" w:color="auto"/>
            </w:tcBorders>
            <w:vAlign w:val="center"/>
          </w:tcPr>
          <w:p w14:paraId="76B1988D" w14:textId="77777777" w:rsidR="00B32CFD" w:rsidRPr="001519D1" w:rsidRDefault="00B32CFD" w:rsidP="000B1F92">
            <w:pPr>
              <w:jc w:val="center"/>
              <w:rPr>
                <w:rFonts w:ascii="Arial" w:hAnsi="Arial" w:cs="Arial"/>
                <w:lang w:val="en-US"/>
              </w:rPr>
            </w:pPr>
            <w:r w:rsidRPr="001519D1">
              <w:rPr>
                <w:rFonts w:ascii="Arial" w:hAnsi="Arial" w:cs="Arial"/>
                <w:lang w:val="en-US"/>
              </w:rPr>
              <w:t>Theoretical thickness of the catalytic layer (µm)</w:t>
            </w:r>
          </w:p>
        </w:tc>
      </w:tr>
      <w:tr w:rsidR="00B32CFD" w:rsidRPr="001519D1" w14:paraId="231E8269" w14:textId="77777777" w:rsidTr="00AB59A7">
        <w:trPr>
          <w:trHeight w:val="855"/>
          <w:jc w:val="center"/>
        </w:trPr>
        <w:tc>
          <w:tcPr>
            <w:tcW w:w="2362" w:type="dxa"/>
            <w:tcBorders>
              <w:top w:val="single" w:sz="12" w:space="0" w:color="auto"/>
            </w:tcBorders>
            <w:vAlign w:val="center"/>
          </w:tcPr>
          <w:p w14:paraId="3C960D6A" w14:textId="77777777" w:rsidR="00B32CFD" w:rsidRPr="001519D1" w:rsidRDefault="00B32CFD" w:rsidP="000B1F92">
            <w:pPr>
              <w:jc w:val="center"/>
              <w:rPr>
                <w:rFonts w:ascii="Arial" w:hAnsi="Arial" w:cs="Arial"/>
              </w:rPr>
            </w:pPr>
            <w:r w:rsidRPr="001519D1">
              <w:rPr>
                <w:rFonts w:ascii="Arial" w:hAnsi="Arial" w:cs="Arial"/>
              </w:rPr>
              <w:t>m_PtCeAl</w:t>
            </w:r>
          </w:p>
        </w:tc>
        <w:tc>
          <w:tcPr>
            <w:tcW w:w="1040" w:type="dxa"/>
            <w:tcBorders>
              <w:top w:val="single" w:sz="12" w:space="0" w:color="auto"/>
            </w:tcBorders>
            <w:vAlign w:val="center"/>
          </w:tcPr>
          <w:p w14:paraId="638D82C2" w14:textId="77777777" w:rsidR="00B32CFD" w:rsidRPr="001519D1" w:rsidRDefault="00B32CFD" w:rsidP="000B1F92">
            <w:pPr>
              <w:jc w:val="center"/>
              <w:rPr>
                <w:rFonts w:ascii="Arial" w:hAnsi="Arial" w:cs="Arial"/>
              </w:rPr>
            </w:pPr>
            <w:r w:rsidRPr="001519D1">
              <w:rPr>
                <w:rFonts w:ascii="Arial" w:hAnsi="Arial" w:cs="Arial"/>
              </w:rPr>
              <w:t>134</w:t>
            </w:r>
          </w:p>
        </w:tc>
        <w:tc>
          <w:tcPr>
            <w:tcW w:w="1134" w:type="dxa"/>
            <w:tcBorders>
              <w:top w:val="single" w:sz="12" w:space="0" w:color="auto"/>
            </w:tcBorders>
            <w:vAlign w:val="center"/>
          </w:tcPr>
          <w:p w14:paraId="46DE31DB" w14:textId="77777777" w:rsidR="00B32CFD" w:rsidRPr="001519D1" w:rsidRDefault="00B32CFD" w:rsidP="000B1F92">
            <w:pPr>
              <w:jc w:val="center"/>
              <w:rPr>
                <w:rFonts w:ascii="Arial" w:hAnsi="Arial" w:cs="Arial"/>
              </w:rPr>
            </w:pPr>
            <w:r w:rsidRPr="001519D1">
              <w:rPr>
                <w:rFonts w:ascii="Arial" w:hAnsi="Arial" w:cs="Arial"/>
              </w:rPr>
              <w:t>0.24</w:t>
            </w:r>
          </w:p>
        </w:tc>
        <w:tc>
          <w:tcPr>
            <w:tcW w:w="851" w:type="dxa"/>
            <w:tcBorders>
              <w:top w:val="single" w:sz="12" w:space="0" w:color="auto"/>
            </w:tcBorders>
            <w:vAlign w:val="center"/>
          </w:tcPr>
          <w:p w14:paraId="552B6F2E" w14:textId="77777777" w:rsidR="00B32CFD" w:rsidRPr="001519D1" w:rsidRDefault="00B32CFD" w:rsidP="000B1F92">
            <w:pPr>
              <w:jc w:val="center"/>
              <w:rPr>
                <w:rFonts w:ascii="Arial" w:hAnsi="Arial" w:cs="Arial"/>
              </w:rPr>
            </w:pPr>
            <w:r w:rsidRPr="001519D1">
              <w:rPr>
                <w:rFonts w:ascii="Arial" w:hAnsi="Arial" w:cs="Arial"/>
              </w:rPr>
              <w:t>7.0</w:t>
            </w:r>
          </w:p>
        </w:tc>
        <w:tc>
          <w:tcPr>
            <w:tcW w:w="2126" w:type="dxa"/>
            <w:tcBorders>
              <w:top w:val="single" w:sz="12" w:space="0" w:color="auto"/>
            </w:tcBorders>
            <w:vAlign w:val="center"/>
          </w:tcPr>
          <w:p w14:paraId="7E5522A1" w14:textId="77777777" w:rsidR="00B32CFD" w:rsidRPr="001519D1" w:rsidRDefault="00B32CFD" w:rsidP="000B1F92">
            <w:pPr>
              <w:jc w:val="center"/>
              <w:rPr>
                <w:rFonts w:ascii="Arial" w:hAnsi="Arial" w:cs="Arial"/>
              </w:rPr>
            </w:pPr>
            <w:r w:rsidRPr="001519D1">
              <w:rPr>
                <w:rFonts w:ascii="Arial" w:hAnsi="Arial" w:cs="Arial"/>
              </w:rPr>
              <w:t>0.9</w:t>
            </w:r>
          </w:p>
        </w:tc>
      </w:tr>
      <w:tr w:rsidR="00B32CFD" w:rsidRPr="001519D1" w14:paraId="3D97A941" w14:textId="77777777" w:rsidTr="00AB59A7">
        <w:trPr>
          <w:trHeight w:val="1084"/>
          <w:jc w:val="center"/>
        </w:trPr>
        <w:tc>
          <w:tcPr>
            <w:tcW w:w="2362" w:type="dxa"/>
            <w:tcBorders>
              <w:top w:val="dotted" w:sz="4" w:space="0" w:color="auto"/>
            </w:tcBorders>
            <w:vAlign w:val="center"/>
          </w:tcPr>
          <w:p w14:paraId="647DBCCD" w14:textId="77777777" w:rsidR="00B32CFD" w:rsidRPr="001519D1" w:rsidRDefault="00B32CFD" w:rsidP="000B1F92">
            <w:pPr>
              <w:jc w:val="center"/>
              <w:rPr>
                <w:rFonts w:ascii="Arial" w:hAnsi="Arial" w:cs="Arial"/>
              </w:rPr>
            </w:pPr>
            <w:r w:rsidRPr="001519D1">
              <w:rPr>
                <w:rFonts w:ascii="Arial" w:hAnsi="Arial" w:cs="Arial"/>
              </w:rPr>
              <w:t>m_PtCeAl+ZrEuMo_5 (1:5)</w:t>
            </w:r>
          </w:p>
        </w:tc>
        <w:tc>
          <w:tcPr>
            <w:tcW w:w="1040" w:type="dxa"/>
            <w:tcBorders>
              <w:top w:val="dotted" w:sz="4" w:space="0" w:color="auto"/>
            </w:tcBorders>
            <w:vAlign w:val="center"/>
          </w:tcPr>
          <w:p w14:paraId="46C0E953" w14:textId="77777777" w:rsidR="00B32CFD" w:rsidRPr="001519D1" w:rsidRDefault="00B32CFD" w:rsidP="000B1F92">
            <w:pPr>
              <w:jc w:val="center"/>
              <w:rPr>
                <w:rFonts w:ascii="Arial" w:hAnsi="Arial" w:cs="Arial"/>
              </w:rPr>
            </w:pPr>
            <w:r w:rsidRPr="001519D1">
              <w:rPr>
                <w:rFonts w:ascii="Arial" w:hAnsi="Arial" w:cs="Arial"/>
              </w:rPr>
              <w:t>85</w:t>
            </w:r>
          </w:p>
        </w:tc>
        <w:tc>
          <w:tcPr>
            <w:tcW w:w="1134" w:type="dxa"/>
            <w:tcBorders>
              <w:top w:val="dotted" w:sz="4" w:space="0" w:color="auto"/>
            </w:tcBorders>
            <w:vAlign w:val="center"/>
          </w:tcPr>
          <w:p w14:paraId="71C401B9" w14:textId="77777777" w:rsidR="00B32CFD" w:rsidRPr="001519D1" w:rsidRDefault="00B32CFD" w:rsidP="000B1F92">
            <w:pPr>
              <w:jc w:val="center"/>
              <w:rPr>
                <w:rFonts w:ascii="Arial" w:hAnsi="Arial" w:cs="Arial"/>
              </w:rPr>
            </w:pPr>
            <w:r w:rsidRPr="001519D1">
              <w:rPr>
                <w:rFonts w:ascii="Arial" w:hAnsi="Arial" w:cs="Arial"/>
              </w:rPr>
              <w:t>0.15</w:t>
            </w:r>
          </w:p>
        </w:tc>
        <w:tc>
          <w:tcPr>
            <w:tcW w:w="851" w:type="dxa"/>
            <w:tcBorders>
              <w:top w:val="dotted" w:sz="4" w:space="0" w:color="auto"/>
            </w:tcBorders>
            <w:vAlign w:val="center"/>
          </w:tcPr>
          <w:p w14:paraId="0782F79E" w14:textId="77777777" w:rsidR="00B32CFD" w:rsidRPr="001519D1" w:rsidRDefault="00B32CFD" w:rsidP="000B1F92">
            <w:pPr>
              <w:jc w:val="center"/>
              <w:rPr>
                <w:rFonts w:ascii="Arial" w:hAnsi="Arial" w:cs="Arial"/>
              </w:rPr>
            </w:pPr>
            <w:r w:rsidRPr="001519D1">
              <w:rPr>
                <w:rFonts w:ascii="Arial" w:hAnsi="Arial" w:cs="Arial"/>
              </w:rPr>
              <w:t>5.3</w:t>
            </w:r>
          </w:p>
        </w:tc>
        <w:tc>
          <w:tcPr>
            <w:tcW w:w="2126" w:type="dxa"/>
            <w:tcBorders>
              <w:top w:val="dotted" w:sz="4" w:space="0" w:color="auto"/>
            </w:tcBorders>
            <w:vAlign w:val="center"/>
          </w:tcPr>
          <w:p w14:paraId="466220F8" w14:textId="77777777" w:rsidR="00B32CFD" w:rsidRPr="001519D1" w:rsidRDefault="00B32CFD" w:rsidP="000B1F92">
            <w:pPr>
              <w:jc w:val="center"/>
              <w:rPr>
                <w:rFonts w:ascii="Arial" w:hAnsi="Arial" w:cs="Arial"/>
              </w:rPr>
            </w:pPr>
            <w:r w:rsidRPr="001519D1">
              <w:rPr>
                <w:rFonts w:ascii="Arial" w:hAnsi="Arial" w:cs="Arial"/>
              </w:rPr>
              <w:t>2.8</w:t>
            </w:r>
          </w:p>
        </w:tc>
      </w:tr>
    </w:tbl>
    <w:p w14:paraId="7E44F04F" w14:textId="77777777" w:rsidR="00B32CFD" w:rsidRPr="001519D1" w:rsidRDefault="00B32CFD" w:rsidP="009821CA">
      <w:pPr>
        <w:spacing w:after="0" w:line="360" w:lineRule="auto"/>
        <w:rPr>
          <w:rFonts w:ascii="Arial" w:hAnsi="Arial" w:cs="Arial"/>
          <w:lang w:val="en-US"/>
        </w:rPr>
      </w:pPr>
    </w:p>
    <w:p w14:paraId="35C414C4" w14:textId="492A8B3E" w:rsidR="00B32CFD" w:rsidRPr="001519D1" w:rsidRDefault="00B32CFD" w:rsidP="009821CA">
      <w:pPr>
        <w:spacing w:after="0" w:line="360" w:lineRule="auto"/>
        <w:rPr>
          <w:rFonts w:ascii="Arial" w:hAnsi="Arial" w:cs="Arial"/>
          <w:lang w:val="en-US"/>
        </w:rPr>
      </w:pPr>
      <w:r w:rsidRPr="001519D1">
        <w:rPr>
          <w:rFonts w:ascii="Arial" w:hAnsi="Arial" w:cs="Arial"/>
          <w:lang w:val="en-US"/>
        </w:rPr>
        <w:t>Finally, scanning electron microscopy (SEM) technique was used to observe the homogeneity and thickness of the catalytic layer on micromonolith. In Figure 12a SEM image of the manufactured micromonolith after thermal treatment and before the catalytic layer impregnation is shown, where the characteristic needle-like shape alumina layer is identified</w:t>
      </w:r>
      <w:r w:rsidR="006D48A6" w:rsidRPr="001519D1">
        <w:rPr>
          <w:rFonts w:ascii="Arial" w:hAnsi="Arial" w:cs="Arial"/>
          <w:lang w:val="en-US"/>
        </w:rPr>
        <w:t xml:space="preserve"> </w:t>
      </w:r>
      <w:r w:rsidR="006D48A6" w:rsidRPr="001519D1">
        <w:rPr>
          <w:rFonts w:ascii="Arial" w:hAnsi="Arial" w:cs="Arial"/>
          <w:lang w:val="en-US"/>
        </w:rPr>
        <w:lastRenderedPageBreak/>
        <w:fldChar w:fldCharType="begin" w:fldLock="1"/>
      </w:r>
      <w:r w:rsidR="00194472" w:rsidRPr="001519D1">
        <w:rPr>
          <w:rFonts w:ascii="Arial" w:hAnsi="Arial" w:cs="Arial"/>
          <w:lang w:val="en-US"/>
        </w:rPr>
        <w:instrText>ADDIN CSL_CITATION { "citationItems" : [ { "id" : "ITEM-1", "itemData" : { "DOI" : "10.1016/j.apcata.2007.02.038", "ISSN" : "0926860X", "abstract" : "The use of austenitic stainless steel (AISI 304) as metallic substrate for catalytic devices is explored in this work as well as an alternative procedure to the washcoating of the active phase. Catalyst deposition on austenitic stainless steel takes advantage of the manganese concentration of this alloy by direct growing of the new catalytic phase on the monolith surface during the synthesis. Manganese oxide (OMS) is chosen as active phase and VOC abatement by total oxidation as catalytic test. It is possible to coat metallic monoliths by growing the catalytic phase, manganese oxide (OMS), in situ during the reflux synthesis of cryptomelane. This preparation strategy needs a proper metal surface modification but is possible to deposit a large amount of catalyst in a very adherent form. The metallic coating shows similar adherences to those found using Fecralloy substrates even thought, in the case of the monolith prepared by repeated washcoating on AISI 304, new phases seem to be produced showing quite higher activity in total oxidation of ethyl acetate. \u00a9 2007 Elsevier B.V. All rights reserved.", "author" : [ { "dropping-particle" : "", "family" : "Fr\u00edas", "given" : "D.M.", "non-dropping-particle" : "", "parse-names" : false, "suffix" : "" }, { "dropping-particle" : "", "family" : "Nousir", "given" : "S.", "non-dropping-particle" : "", "parse-names" : false, "suffix" : "" }, { "dropping-particle" : "", "family" : "Barrio", "given" : "I.", "non-dropping-particle" : "", "parse-names" : false, "suffix" : "" }, { "dropping-particle" : "", "family" : "Montes", "given" : "M.", "non-dropping-particle" : "", "parse-names" : false, "suffix" : "" }, { "dropping-particle" : "", "family" : "Mart\u00ednez T.", "given" : "L.M.", "non-dropping-particle" : "", "parse-names" : false, "suffix" : "" }, { "dropping-particle" : "", "family" : "Centeno", "given" : "M.A.", "non-dropping-particle" : "", "parse-names" : false, "suffix" : "" }, { "dropping-particle" : "", "family" : "Odriozola", "given" : "J.A.", "non-dropping-particle" : "", "parse-names" : false, "suffix" : "" } ], "container-title" : "Applied Catalysis A: General", "id" : "ITEM-1", "issue" : "2", "issued" : { "date-parts" : [ [ "2007" ] ] }, "page" : "205-212", "title" : "Nucleation and growth of manganese oxides on metallic surfaces as a tool to prepare metallic monoliths", "type" : "article-journal", "volume" : "325" }, "uris" : [ "http://www.mendeley.com/documents/?uuid=09605a8d-08dc-4938-83c6-421b46504808" ] }, { "id" : "ITEM-2", "itemData" : { "DOI" : "10.1016/j.apcata.2014.03.028", "ISSN" : "0926860X", "abstract" : "In order to study the influence of the metallic substrate on the catalytic activity of structured micromonolithic catalysts, a CuOx/CeO 2 catalyst was deposited on different oxidized or enameled metallic micromonoliths and tested in the PROX reaction under ideal and realistic conditions. The obtained results show as both activity and selectivity depend on the nature of the alloy and the nature of the interphase between the metal substrate and the catalyst layer. In oxidized micromonoliths, diffusion of Cr and Fe has been observed. For enameled micromonoliths, together with that diffusion, the interaction of the glass-ceramic interphase with the reactive gas streams resulted in the partial hydrolysis of this layer leading to diffusion toward the catalyst surface of the hydrolysis products, namely Na, Ca and Si cations. In some cases, the alteration of the surface composition favors the spreading of the copper active phase. As a result, it must be concluded that the metallic substrates are not spectators, at least in the PROX reaction, playing a fundamental role in the performances of the catalytic devices. \u00a9 2014 Elsevier B.V.", "author" : [ { "dropping-particle" : "", "family" : "Dom\u00ednguez", "given" : "M.I.", "non-dropping-particle" : "", "parse-names" : false, "suffix" : "" }, { "dropping-particle" : "", "family" : "P\u00e9rez", "given" : "A.", "non-dropping-particle" : "", "parse-names" : false, "suffix" : "" }, { "dropping-particle" : "", "family" : "Centeno", "given" : "M.A.", "non-dropping-particle" : "", "parse-names" : false, "suffix" : "" }, { "dropping-particle" : "", "family" : "Odriozola", "given" : "J.A.", "non-dropping-particle" : "", "parse-names" : false, "suffix" : "" } ], "container-title" : "Applied Catalysis A: General", "id" : "ITEM-2", "issued" : { "date-parts" : [ [ "2014" ] ] }, "page" : "45-57", "publisher" : "Elsevier B.V.", "title" : "Metallic structured catalysts: Influence of the substrate on the catalytic activity", "type" : "article-journal", "volume" : "478" }, "uris" : [ "http://www.mendeley.com/documents/?uuid=9e9fbdc0-0762-4bc2-b047-d908065b2e13" ] } ], "mendeley" : { "formattedCitation" : "[72,73]", "plainTextFormattedCitation" : "[72,73]", "previouslyFormattedCitation" : "[72,73]" }, "properties" : { "noteIndex" : 0 }, "schema" : "https://github.com/citation-style-language/schema/raw/master/csl-citation.json" }</w:instrText>
      </w:r>
      <w:r w:rsidR="006D48A6" w:rsidRPr="001519D1">
        <w:rPr>
          <w:rFonts w:ascii="Arial" w:hAnsi="Arial" w:cs="Arial"/>
          <w:lang w:val="en-US"/>
        </w:rPr>
        <w:fldChar w:fldCharType="separate"/>
      </w:r>
      <w:r w:rsidR="00C76F86" w:rsidRPr="001519D1">
        <w:rPr>
          <w:rFonts w:ascii="Arial" w:hAnsi="Arial" w:cs="Arial"/>
          <w:noProof/>
          <w:lang w:val="en-US"/>
        </w:rPr>
        <w:t>[72,73]</w:t>
      </w:r>
      <w:r w:rsidR="006D48A6" w:rsidRPr="001519D1">
        <w:rPr>
          <w:rFonts w:ascii="Arial" w:hAnsi="Arial" w:cs="Arial"/>
          <w:lang w:val="en-US"/>
        </w:rPr>
        <w:fldChar w:fldCharType="end"/>
      </w:r>
      <w:r w:rsidR="006D48A6" w:rsidRPr="001519D1">
        <w:rPr>
          <w:rFonts w:ascii="Arial" w:hAnsi="Arial" w:cs="Arial"/>
          <w:lang w:val="en-US"/>
        </w:rPr>
        <w:t>.</w:t>
      </w:r>
      <w:r w:rsidRPr="001519D1">
        <w:rPr>
          <w:rFonts w:ascii="Arial" w:hAnsi="Arial" w:cs="Arial"/>
          <w:lang w:val="en-US"/>
        </w:rPr>
        <w:t xml:space="preserve"> In Figure 12b, the transversal cross section of the m_PtCeAl+ZrEuMo_5 sample is presented, where the measurement of the layer reveals </w:t>
      </w:r>
      <w:r w:rsidRPr="001519D1">
        <w:rPr>
          <w:rFonts w:ascii="Arial" w:hAnsi="Arial" w:cs="Arial"/>
          <w:i/>
          <w:iCs/>
          <w:lang w:val="en-US"/>
        </w:rPr>
        <w:t>c.a</w:t>
      </w:r>
      <w:r w:rsidRPr="001519D1">
        <w:rPr>
          <w:rFonts w:ascii="Arial" w:hAnsi="Arial" w:cs="Arial"/>
          <w:lang w:val="en-US"/>
        </w:rPr>
        <w:t>. 3 µm in thickness, in a good concordance with the calculated theoretical layer (Table 3) and comparable to other reported similar structured catalysts</w:t>
      </w:r>
      <w:r w:rsidR="006D48A6" w:rsidRPr="001519D1">
        <w:rPr>
          <w:rFonts w:ascii="Arial" w:hAnsi="Arial" w:cs="Arial"/>
          <w:lang w:val="en-US"/>
        </w:rPr>
        <w:t xml:space="preserve"> </w:t>
      </w:r>
      <w:r w:rsidR="006D48A6"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"10.1016/j.apcatb.2016.07.039", "ISSN" : "09263373", "abstract" : "This work is devoted to the development of novel structured catalytic system for WGS reaction. The new concept is related to the presence of a pre-catalytic \u201cbuffer\u201d layer formed by WGS-inert oxide, i.e. not involved in CO conversion, but able to increase the number of participating sites in water dissociation step during the reaction. The performance of the proposed systems appears to depend strongly on the stream composition, being its effect beneficial in highly reducing atmospheres making it ideal for clean-up application. An increment of the partial kinetic order for water species is observed and reveals the key role of the water activation for superior catalytic behavior.", "author" : [ { "dropping-particle" : "", "family" : "Gonz\u00e1lez-Casta\u00f1o", "given" : "M.", "non-dropping-particle" : "", "parse-names" : false, "suffix" : "" }, { "dropping-particle" : "", "family" : "Ivanova", "given" : "S.", "non-dropping-particle" : "", "parse-names" : false, "suffix" : "" }, { "dropping-particle" : "", "family" : "Laguna", "given" : "O.H.", "non-dropping-particle" : "", "parse-names" : false, "suffix" : "" }, { "dropping-particle" : "", "family" : "Mart\u00ednez T.", "given" : "L.M.", "non-dropping-particle" : "", "parse-names" : false, "suffix" : "" }, { "dropping-particle" : "", "family" : "Centeno", "given" : "M.A.", "non-dropping-particle" : "", "parse-names" : false, "suffix" : "" }, { "dropping-particle" : "", "family" : "Odriozola", "given" : "J.A.", "non-dropping-particle" : "", "parse-names" : false, "suffix" : "" } ], "container-title" : "Applied Catalysis B: Environmental", "id" : "ITEM-1", "issued" : { "date-parts" : [ [ "2017" ] ] }, "page" : "420-427", "title" : "Structuring Pt/CeO2/Al2O3 WGS catalyst: Introduction of buffer layer", "type" : "article-journal", "volume" : "200" }, "uris" : [ "http://www.mendeley.com/documents/?uuid=59f1b994-1d60-4bca-81e7-dca4f9b79e97" ] } ], "mendeley" : { "formattedCitation" : "[74]", "plainTextFormattedCitation" : "[74]", "previouslyFormattedCitation" : "[74]" }, "properties" : { "noteIndex" : 0 }, "schema" : "https://github.com/citation-style-language/schema/raw/master/csl-citation.json" }</w:instrText>
      </w:r>
      <w:r w:rsidR="006D48A6" w:rsidRPr="001519D1">
        <w:rPr>
          <w:rFonts w:ascii="Arial" w:hAnsi="Arial" w:cs="Arial"/>
          <w:lang w:val="en-US"/>
        </w:rPr>
        <w:fldChar w:fldCharType="separate"/>
      </w:r>
      <w:r w:rsidR="00C76F86" w:rsidRPr="001519D1">
        <w:rPr>
          <w:rFonts w:ascii="Arial" w:hAnsi="Arial" w:cs="Arial"/>
          <w:noProof/>
          <w:lang w:val="en-US"/>
        </w:rPr>
        <w:t>[74]</w:t>
      </w:r>
      <w:r w:rsidR="006D48A6" w:rsidRPr="001519D1">
        <w:rPr>
          <w:rFonts w:ascii="Arial" w:hAnsi="Arial" w:cs="Arial"/>
          <w:lang w:val="en-US"/>
        </w:rPr>
        <w:fldChar w:fldCharType="end"/>
      </w:r>
      <w:r w:rsidR="006D48A6" w:rsidRPr="001519D1">
        <w:rPr>
          <w:rFonts w:ascii="Arial" w:hAnsi="Arial" w:cs="Arial"/>
          <w:lang w:val="en-US"/>
        </w:rPr>
        <w:t>.</w:t>
      </w:r>
      <w:r w:rsidRPr="001519D1">
        <w:rPr>
          <w:rFonts w:ascii="Arial" w:hAnsi="Arial" w:cs="Arial"/>
          <w:lang w:val="en-US"/>
        </w:rPr>
        <w:t xml:space="preserve"> Thickness theoretical calculations are based on the compact structure density, the textural properties (porosity and BET surface), the exposed surface of the micromonolith (540 cm</w:t>
      </w:r>
      <w:r w:rsidRPr="001519D1">
        <w:rPr>
          <w:rFonts w:ascii="Arial" w:hAnsi="Arial" w:cs="Arial"/>
          <w:vertAlign w:val="superscript"/>
          <w:lang w:val="en-US"/>
        </w:rPr>
        <w:t>2</w:t>
      </w:r>
      <w:r w:rsidRPr="001519D1">
        <w:rPr>
          <w:rFonts w:ascii="Arial" w:hAnsi="Arial" w:cs="Arial"/>
          <w:lang w:val="en-US"/>
        </w:rPr>
        <w:t>) and the catalyst loading. The m_PtCeAl+ZrEuMo_5 sample presents the highest loading and, consequently, its layer is thicker. Thus, both structured catalysts present active layers below 3 µm, which allows us to neglect possible diffusional problems, in agreement with other studies, where such problems become important within the 10 – 20 µm range thickness</w:t>
      </w:r>
      <w:r w:rsidR="006D48A6" w:rsidRPr="001519D1">
        <w:rPr>
          <w:rFonts w:ascii="Arial" w:hAnsi="Arial" w:cs="Arial"/>
          <w:lang w:val="en-US"/>
        </w:rPr>
        <w:t xml:space="preserve"> </w:t>
      </w:r>
      <w:r w:rsidR="006D48A6" w:rsidRPr="001519D1">
        <w:rPr>
          <w:rFonts w:ascii="Arial" w:hAnsi="Arial" w:cs="Arial"/>
          <w:lang w:val="en-US"/>
        </w:rPr>
        <w:fldChar w:fldCharType="begin" w:fldLock="1"/>
      </w:r>
      <w:r w:rsidR="00194472" w:rsidRPr="001519D1">
        <w:rPr>
          <w:rFonts w:ascii="Arial" w:hAnsi="Arial" w:cs="Arial"/>
          <w:lang w:val="en-US"/>
        </w:rPr>
        <w:instrText>ADDIN CSL_CITATION { "citationItems" : [ { "id" : "ITEM-1", "itemData" : { "DOI" : "10.1016/j.cej.2011.08.081", "ISSN" : "13858947", "abstract" : "The effect of internal mass transport limitation on the preferential CO oxidation in hydrogen-rich mixture over copper-cerium oxide catalyst in a form of pellets and washcoat in microchannel reactor is estimated. Internal effectiveness factor ?? S{cyrillic}O{cyrillic} &gt;0.8 in the optimum interval of reaction temperature (170-230??C) is reached if the pellet diameter and washcoat thickness do not exceed 100 and 20??m, respectively. Compared to conventional packed-bed reactor with catalyst pellets, microchannel catalytic washcoated reactor is more appropriate for practical use. ?? 2011 Elsevier B.V.", "author" : [ { "dropping-particle" : "", "family" : "Potemkin", "given" : "D.I.", "non-dropping-particle" : "", "parse-names" : false, "suffix" : "" }, { "dropping-particle" : "", "family" : "Snytnikov", "given" : "P.V.", "non-dropping-particle" : "", "parse-names" : false, "suffix" : "" }, { "dropping-particle" : "", "family" : "Belyaev", "given" : "V.D.", "non-dropping-particle" : "", "parse-names" : false, "suffix" : "" }, { "dropping-particle" : "", "family" : "Sobyanin", "given" : "V.A.", "non-dropping-particle" : "", "parse-names" : false, "suffix" : "" } ], "container-title" : "Chemical Engineering Journal", "id" : "ITEM-1", "issued" : { "date-parts" : [ [ "2011" ] ] }, "page" : "165-171", "publisher" : "Elsevier B.V.", "title" : "Preferential CO oxidation over Cu/CeO2-x catalyst: Internal mass transport limitation", "type" : "article-journal", "volume" : "176-177" }, "uris" : [ "http://www.mendeley.com/documents/?uuid=1eca81b0-853b-4d3b-ad68-7e1b724a23c3" ] }, { "id" : "ITEM-2", "itemData" : { "DOI" : "10.1016/j.cej.2015.04.023", "ISBN" : "1385-8947", "ISSN" : "13858947", "abstract" : "Two blocks of microreactors composed by 100 microchannels and coated, respectively, with 150 and 300mg of a CuO&lt;inf&gt;x&lt;/inf&gt;/CeO&lt;inf&gt;2&lt;/inf&gt; catalyst, were prepared and tested in the preferential oxidation of CO in presence of H&lt;inf&gt;2&lt;/inf&gt; (PROX). The deposition of different amount of catalyst resulted in different catalytic layer thicknesses thus modifying the catalytic performances of the microreactor. The evaluation of the main reaction variables (the space velocity, the O&lt;inf&gt;2&lt;/inf&gt;-to-CO ratio and the presence of H&lt;inf&gt;2&lt;/inf&gt;O and/or CO&lt;inf&gt;2&lt;/inf&gt; in the stream) was performed over both microreactors and compared to that of the parent powder catalyst. The least loaded microreactor, with a coating thickness around 10\u03bcm, presented the highest CO conversion and selectivity levels at temperatures below 160\u00b0C. This result evidences (i) the improvement of the catalytic performances got by the structuration of the powder catalyst and (ii) the importance of the selection of the adequate thickness of the catalytic layer on the microreactor, which have not to exceed and optimal value. An adequate coating thickness allows minimizing the mass and heat transport limitations, thus resulting in the enhancement of the catalytic performance during the PROX reaction.", "author" : [ { "dropping-particle" : "", "family" : "Laguna", "given" : "O.H.", "non-dropping-particle" : "", "parse-names" : false, "suffix" : "" }, { "dropping-particle" : "", "family" : "Gonz\u00e1lez Casta\u00f1o", "given" : "M.", "non-dropping-particle" : "", "parse-names" : false, "suffix" : "" }, { "dropping-particle" : "", "family" : "Centeno", "given" : "M.A.", "non-dropping-particle" : "", "parse-names" : false, "suffix" : "" }, { "dropping-particle" : "", "family" : "Odriozola", "given" : "J.A.", "non-dropping-particle" : "", "parse-names" : false, "suffix" : "" } ], "container-title" : "Chemical Engineering Journal", "id" : "ITEM-2", "issued" : { "date-parts" : [ [ "2015" ] ] }, "page" : "45-52", "publisher" : "Elsevier B.V.", "title" : "Microreactors technology for hydrogen purification: Effect of the catalytic layer thickness on CuOx/CeO2-coated microchannel reactors for the PROX reaction", "type" : "article-journal", "volume" : "275" }, "uris" : [ "http://www.mendeley.com/documents/?uuid=3f7b6b28-cd0f-4dac-9327-d698b7ac84a5" ] } ], "mendeley" : { "formattedCitation" : "[75,76]", "plainTextFormattedCitation" : "[75,76]", "previouslyFormattedCitation" : "[75,76]" }, "properties" : { "noteIndex" : 0 }, "schema" : "https://github.com/citation-style-language/schema/raw/master/csl-citation.json" }</w:instrText>
      </w:r>
      <w:r w:rsidR="006D48A6" w:rsidRPr="001519D1">
        <w:rPr>
          <w:rFonts w:ascii="Arial" w:hAnsi="Arial" w:cs="Arial"/>
          <w:lang w:val="en-US"/>
        </w:rPr>
        <w:fldChar w:fldCharType="separate"/>
      </w:r>
      <w:r w:rsidR="00C76F86" w:rsidRPr="001519D1">
        <w:rPr>
          <w:rFonts w:ascii="Arial" w:hAnsi="Arial" w:cs="Arial"/>
          <w:noProof/>
          <w:lang w:val="en-US"/>
        </w:rPr>
        <w:t>[75,76]</w:t>
      </w:r>
      <w:r w:rsidR="006D48A6" w:rsidRPr="001519D1">
        <w:rPr>
          <w:rFonts w:ascii="Arial" w:hAnsi="Arial" w:cs="Arial"/>
          <w:lang w:val="en-US"/>
        </w:rPr>
        <w:fldChar w:fldCharType="end"/>
      </w:r>
      <w:r w:rsidR="006D48A6" w:rsidRPr="001519D1">
        <w:rPr>
          <w:rFonts w:ascii="Arial" w:hAnsi="Arial" w:cs="Arial"/>
          <w:lang w:val="en-US"/>
        </w:rPr>
        <w:t>.</w:t>
      </w:r>
    </w:p>
    <w:p w14:paraId="544D9CCD" w14:textId="37E1E440" w:rsidR="00AB59A7" w:rsidRPr="001519D1" w:rsidRDefault="00AB59A7" w:rsidP="009821CA">
      <w:pPr>
        <w:spacing w:after="0" w:line="360" w:lineRule="auto"/>
        <w:rPr>
          <w:rFonts w:ascii="Arial" w:hAnsi="Arial" w:cs="Arial"/>
          <w:lang w:val="en-US"/>
        </w:rPr>
      </w:pPr>
    </w:p>
    <w:p w14:paraId="27C541C4" w14:textId="77777777" w:rsidR="00AB59A7" w:rsidRPr="001519D1" w:rsidRDefault="00B32CFD" w:rsidP="00AB59A7">
      <w:pPr>
        <w:keepNext/>
        <w:spacing w:after="0" w:line="360" w:lineRule="auto"/>
      </w:pPr>
      <w:r w:rsidRPr="001519D1">
        <w:rPr>
          <w:rFonts w:ascii="Arial" w:hAnsi="Arial" w:cs="Arial"/>
          <w:noProof/>
          <w:lang w:val="es-ES" w:eastAsia="es-ES"/>
        </w:rPr>
        <w:drawing>
          <wp:inline distT="0" distB="0" distL="0" distR="0" wp14:anchorId="592787E5" wp14:editId="2B8D9A59">
            <wp:extent cx="4999409" cy="20040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7429" cy="2023309"/>
                    </a:xfrm>
                    <a:prstGeom prst="rect">
                      <a:avLst/>
                    </a:prstGeom>
                    <a:noFill/>
                  </pic:spPr>
                </pic:pic>
              </a:graphicData>
            </a:graphic>
          </wp:inline>
        </w:drawing>
      </w:r>
    </w:p>
    <w:p w14:paraId="3E5D65AA" w14:textId="22310E2D" w:rsidR="00B32CFD" w:rsidRPr="001519D1" w:rsidRDefault="00AB59A7" w:rsidP="00AB59A7">
      <w:pPr>
        <w:pStyle w:val="Descripcin"/>
        <w:rPr>
          <w:rFonts w:ascii="Arial" w:hAnsi="Arial" w:cs="Arial"/>
          <w:i w:val="0"/>
          <w:iCs w:val="0"/>
          <w:color w:val="auto"/>
          <w:sz w:val="22"/>
          <w:szCs w:val="22"/>
          <w:lang w:val="en-US"/>
        </w:rPr>
      </w:pPr>
      <w:r w:rsidRPr="001519D1">
        <w:rPr>
          <w:rFonts w:ascii="Arial" w:hAnsi="Arial" w:cs="Arial"/>
          <w:i w:val="0"/>
          <w:iCs w:val="0"/>
          <w:color w:val="auto"/>
          <w:sz w:val="22"/>
          <w:szCs w:val="22"/>
          <w:lang w:val="en-US"/>
        </w:rPr>
        <w:t xml:space="preserve">Figure </w:t>
      </w:r>
      <w:r w:rsidRPr="001519D1">
        <w:rPr>
          <w:rFonts w:ascii="Arial" w:hAnsi="Arial" w:cs="Arial"/>
          <w:i w:val="0"/>
          <w:iCs w:val="0"/>
          <w:color w:val="auto"/>
          <w:sz w:val="22"/>
          <w:szCs w:val="22"/>
        </w:rPr>
        <w:fldChar w:fldCharType="begin"/>
      </w:r>
      <w:r w:rsidRPr="001519D1">
        <w:rPr>
          <w:rFonts w:ascii="Arial" w:hAnsi="Arial" w:cs="Arial"/>
          <w:i w:val="0"/>
          <w:iCs w:val="0"/>
          <w:color w:val="auto"/>
          <w:sz w:val="22"/>
          <w:szCs w:val="22"/>
          <w:lang w:val="en-US"/>
        </w:rPr>
        <w:instrText xml:space="preserve"> SEQ Figure \* ARABIC </w:instrText>
      </w:r>
      <w:r w:rsidRPr="001519D1">
        <w:rPr>
          <w:rFonts w:ascii="Arial" w:hAnsi="Arial" w:cs="Arial"/>
          <w:i w:val="0"/>
          <w:iCs w:val="0"/>
          <w:color w:val="auto"/>
          <w:sz w:val="22"/>
          <w:szCs w:val="22"/>
        </w:rPr>
        <w:fldChar w:fldCharType="separate"/>
      </w:r>
      <w:r w:rsidRPr="001519D1">
        <w:rPr>
          <w:rFonts w:ascii="Arial" w:hAnsi="Arial" w:cs="Arial"/>
          <w:i w:val="0"/>
          <w:iCs w:val="0"/>
          <w:noProof/>
          <w:color w:val="auto"/>
          <w:sz w:val="22"/>
          <w:szCs w:val="22"/>
          <w:lang w:val="en-US"/>
        </w:rPr>
        <w:t>12</w:t>
      </w:r>
      <w:r w:rsidRPr="001519D1">
        <w:rPr>
          <w:rFonts w:ascii="Arial" w:hAnsi="Arial" w:cs="Arial"/>
          <w:i w:val="0"/>
          <w:iCs w:val="0"/>
          <w:color w:val="auto"/>
          <w:sz w:val="22"/>
          <w:szCs w:val="22"/>
        </w:rPr>
        <w:fldChar w:fldCharType="end"/>
      </w:r>
      <w:r w:rsidRPr="001519D1">
        <w:rPr>
          <w:rFonts w:ascii="Arial" w:hAnsi="Arial" w:cs="Arial"/>
          <w:i w:val="0"/>
          <w:iCs w:val="0"/>
          <w:color w:val="auto"/>
          <w:sz w:val="22"/>
          <w:szCs w:val="22"/>
          <w:lang w:val="en-US"/>
        </w:rPr>
        <w:t>.</w:t>
      </w:r>
      <w:r w:rsidRPr="001519D1">
        <w:rPr>
          <w:rFonts w:ascii="Arial" w:hAnsi="Arial" w:cs="Arial"/>
          <w:i w:val="0"/>
          <w:iCs w:val="0"/>
          <w:noProof/>
          <w:color w:val="auto"/>
          <w:sz w:val="22"/>
          <w:szCs w:val="22"/>
          <w:lang w:val="en-US"/>
        </w:rPr>
        <w:t xml:space="preserve">  SEM images of (a) the created Al</w:t>
      </w:r>
      <w:r w:rsidRPr="001519D1">
        <w:rPr>
          <w:rFonts w:ascii="Arial" w:hAnsi="Arial" w:cs="Arial"/>
          <w:i w:val="0"/>
          <w:iCs w:val="0"/>
          <w:noProof/>
          <w:color w:val="auto"/>
          <w:sz w:val="22"/>
          <w:szCs w:val="22"/>
          <w:vertAlign w:val="subscript"/>
          <w:lang w:val="en-US"/>
        </w:rPr>
        <w:t>2</w:t>
      </w:r>
      <w:r w:rsidRPr="001519D1">
        <w:rPr>
          <w:rFonts w:ascii="Arial" w:hAnsi="Arial" w:cs="Arial"/>
          <w:i w:val="0"/>
          <w:iCs w:val="0"/>
          <w:noProof/>
          <w:color w:val="auto"/>
          <w:sz w:val="22"/>
          <w:szCs w:val="22"/>
          <w:lang w:val="en-US"/>
        </w:rPr>
        <w:t>O</w:t>
      </w:r>
      <w:r w:rsidRPr="001519D1">
        <w:rPr>
          <w:rFonts w:ascii="Arial" w:hAnsi="Arial" w:cs="Arial"/>
          <w:i w:val="0"/>
          <w:iCs w:val="0"/>
          <w:noProof/>
          <w:color w:val="auto"/>
          <w:sz w:val="22"/>
          <w:szCs w:val="22"/>
          <w:vertAlign w:val="subscript"/>
          <w:lang w:val="en-US"/>
        </w:rPr>
        <w:t>3</w:t>
      </w:r>
      <w:r w:rsidRPr="001519D1">
        <w:rPr>
          <w:rFonts w:ascii="Arial" w:hAnsi="Arial" w:cs="Arial"/>
          <w:i w:val="0"/>
          <w:iCs w:val="0"/>
          <w:noProof/>
          <w:color w:val="auto"/>
          <w:sz w:val="22"/>
          <w:szCs w:val="22"/>
          <w:lang w:val="en-US"/>
        </w:rPr>
        <w:t xml:space="preserve"> layer of the treated micromonolith and (b) transversal section of the m_PtCeAl+ZrEuMo_5 layer loaded on the micromonolith.</w:t>
      </w:r>
    </w:p>
    <w:p w14:paraId="20120905" w14:textId="77777777" w:rsidR="00B32CFD" w:rsidRPr="001519D1" w:rsidRDefault="00B32CFD" w:rsidP="009821CA">
      <w:pPr>
        <w:spacing w:after="0" w:line="360" w:lineRule="auto"/>
        <w:rPr>
          <w:rFonts w:ascii="Arial" w:hAnsi="Arial" w:cs="Arial"/>
          <w:lang w:val="en-US"/>
        </w:rPr>
      </w:pPr>
    </w:p>
    <w:p w14:paraId="6EF0CB9F" w14:textId="16C6FE7E" w:rsidR="00B32CFD" w:rsidRPr="001519D1" w:rsidRDefault="00AB59A7" w:rsidP="00B32CFD">
      <w:pPr>
        <w:spacing w:after="0" w:line="360" w:lineRule="auto"/>
        <w:rPr>
          <w:rFonts w:ascii="Arial" w:hAnsi="Arial" w:cs="Arial"/>
          <w:b/>
          <w:bCs/>
          <w:lang w:val="en-US"/>
        </w:rPr>
      </w:pPr>
      <w:r w:rsidRPr="001519D1">
        <w:rPr>
          <w:rFonts w:ascii="Arial" w:hAnsi="Arial" w:cs="Arial"/>
          <w:b/>
          <w:bCs/>
          <w:lang w:val="en-US"/>
        </w:rPr>
        <w:t xml:space="preserve">4. </w:t>
      </w:r>
      <w:r w:rsidR="00B32CFD" w:rsidRPr="001519D1">
        <w:rPr>
          <w:rFonts w:ascii="Arial" w:hAnsi="Arial" w:cs="Arial"/>
          <w:b/>
          <w:bCs/>
          <w:lang w:val="en-US"/>
        </w:rPr>
        <w:t>Conclusions</w:t>
      </w:r>
    </w:p>
    <w:p w14:paraId="26C0858E" w14:textId="76BE92F2" w:rsidR="00B32CFD" w:rsidRPr="001519D1" w:rsidRDefault="00B32CFD" w:rsidP="00B32CFD">
      <w:pPr>
        <w:spacing w:after="0" w:line="360" w:lineRule="auto"/>
        <w:rPr>
          <w:rFonts w:ascii="Arial" w:hAnsi="Arial" w:cs="Arial"/>
          <w:lang w:val="en-US"/>
        </w:rPr>
      </w:pPr>
      <w:r w:rsidRPr="001519D1">
        <w:rPr>
          <w:rFonts w:ascii="Arial" w:hAnsi="Arial" w:cs="Arial"/>
          <w:lang w:val="en-US"/>
        </w:rPr>
        <w:t>According to the determining role of the water activation in WGS reaction in H</w:t>
      </w:r>
      <w:r w:rsidRPr="001519D1">
        <w:rPr>
          <w:rFonts w:ascii="Arial" w:hAnsi="Arial" w:cs="Arial"/>
          <w:vertAlign w:val="subscript"/>
          <w:lang w:val="en-US"/>
        </w:rPr>
        <w:t>2</w:t>
      </w:r>
      <w:r w:rsidRPr="001519D1">
        <w:rPr>
          <w:rFonts w:ascii="Arial" w:hAnsi="Arial" w:cs="Arial"/>
          <w:lang w:val="en-US"/>
        </w:rPr>
        <w:t xml:space="preserve"> production process, promoted catalysts based on physical mixture of a Pt-based catalyst and proton conductor mixed oxides have been prepared. The addition of MoO</w:t>
      </w:r>
      <w:r w:rsidRPr="001519D1">
        <w:rPr>
          <w:rFonts w:ascii="Arial" w:hAnsi="Arial" w:cs="Arial"/>
          <w:vertAlign w:val="subscript"/>
          <w:lang w:val="en-US"/>
        </w:rPr>
        <w:t>x</w:t>
      </w:r>
      <w:r w:rsidRPr="001519D1">
        <w:rPr>
          <w:rFonts w:ascii="Arial" w:hAnsi="Arial" w:cs="Arial"/>
          <w:lang w:val="en-US"/>
        </w:rPr>
        <w:t xml:space="preserve"> to Eu-doped ZrO</w:t>
      </w:r>
      <w:r w:rsidRPr="001519D1">
        <w:rPr>
          <w:rFonts w:ascii="Arial" w:hAnsi="Arial" w:cs="Arial"/>
          <w:vertAlign w:val="subscript"/>
          <w:lang w:val="en-US"/>
        </w:rPr>
        <w:t>2</w:t>
      </w:r>
      <w:r w:rsidRPr="001519D1">
        <w:rPr>
          <w:rFonts w:ascii="Arial" w:hAnsi="Arial" w:cs="Arial"/>
          <w:lang w:val="en-US"/>
        </w:rPr>
        <w:t xml:space="preserve"> mixed oxide generates proton conducting materials composed by a Zr and Eu solid solution with molybdates clusters located on the surface, preferentially over Eu sites. </w:t>
      </w:r>
      <w:r w:rsidR="00C52B2F" w:rsidRPr="001519D1">
        <w:rPr>
          <w:rFonts w:ascii="Arial" w:hAnsi="Arial" w:cs="Arial"/>
          <w:lang w:val="en-US"/>
        </w:rPr>
        <w:t>The increment of Mo content show the promotion of MoO</w:t>
      </w:r>
      <w:r w:rsidR="00C52B2F" w:rsidRPr="001519D1">
        <w:rPr>
          <w:rFonts w:ascii="Arial" w:hAnsi="Arial" w:cs="Arial"/>
          <w:vertAlign w:val="subscript"/>
          <w:lang w:val="en-US"/>
        </w:rPr>
        <w:t>x</w:t>
      </w:r>
      <w:r w:rsidR="00C52B2F" w:rsidRPr="001519D1">
        <w:rPr>
          <w:rFonts w:ascii="Arial" w:hAnsi="Arial" w:cs="Arial"/>
          <w:lang w:val="en-US"/>
        </w:rPr>
        <w:t xml:space="preserve"> clusters to α-MoO</w:t>
      </w:r>
      <w:r w:rsidR="00C52B2F" w:rsidRPr="001519D1">
        <w:rPr>
          <w:rFonts w:ascii="Arial" w:hAnsi="Arial" w:cs="Arial"/>
          <w:vertAlign w:val="subscript"/>
          <w:lang w:val="en-US"/>
        </w:rPr>
        <w:t>3</w:t>
      </w:r>
      <w:r w:rsidR="00C52B2F" w:rsidRPr="001519D1">
        <w:rPr>
          <w:rFonts w:ascii="Arial" w:hAnsi="Arial" w:cs="Arial"/>
          <w:lang w:val="en-US"/>
        </w:rPr>
        <w:t xml:space="preserve"> islands or monolayers for high Mo loadings. Moreover, TPR analysis exhibited the reducibility of Mo phases at really low temperatures and possible bronzes formation. I</w:t>
      </w:r>
      <w:r w:rsidRPr="001519D1">
        <w:rPr>
          <w:rFonts w:ascii="Arial" w:hAnsi="Arial" w:cs="Arial"/>
          <w:lang w:val="en-US"/>
        </w:rPr>
        <w:t>n addition to the previously demonstrated proton conductivity of the Eu-doped zirconia solid solution, these Mo-based structures are reported to be able to adsorb water and present ion-exchange in the temperature range of interest in order to improve the WGS catalyst performance.</w:t>
      </w:r>
      <w:r w:rsidR="00C52B2F" w:rsidRPr="001519D1">
        <w:rPr>
          <w:rFonts w:ascii="Arial" w:hAnsi="Arial" w:cs="Arial"/>
          <w:lang w:val="en-US"/>
        </w:rPr>
        <w:t xml:space="preserve"> In</w:t>
      </w:r>
      <w:r w:rsidRPr="001519D1">
        <w:rPr>
          <w:rFonts w:ascii="Arial" w:hAnsi="Arial" w:cs="Arial"/>
          <w:lang w:val="en-US"/>
        </w:rPr>
        <w:t xml:space="preserve">deed, catalytic tests with these promoted catalysts on WGS reaction exhibit higher activity in terms of CO conversion, which </w:t>
      </w:r>
      <w:r w:rsidRPr="001519D1">
        <w:rPr>
          <w:rFonts w:ascii="Arial" w:hAnsi="Arial" w:cs="Arial"/>
          <w:lang w:val="en-US"/>
        </w:rPr>
        <w:lastRenderedPageBreak/>
        <w:t>is related to its water-enhancer effect that improves the water activation step of the WGS reaction.</w:t>
      </w:r>
    </w:p>
    <w:p w14:paraId="42D0568D" w14:textId="780A7868" w:rsidR="00B32CFD" w:rsidRPr="001519D1" w:rsidRDefault="00B32CFD" w:rsidP="00B32CFD">
      <w:pPr>
        <w:spacing w:after="0" w:line="360" w:lineRule="auto"/>
        <w:rPr>
          <w:rFonts w:ascii="Arial" w:hAnsi="Arial" w:cs="Arial"/>
          <w:lang w:val="en-US"/>
        </w:rPr>
      </w:pPr>
      <w:r w:rsidRPr="001519D1">
        <w:rPr>
          <w:rFonts w:ascii="Arial" w:hAnsi="Arial" w:cs="Arial"/>
          <w:lang w:val="en-US"/>
        </w:rPr>
        <w:t>The structuration of these catalysts allows to discard thermal or diffusional effects supporting thereby the water-promoter effect by the ionic conductor. The better activity achieved by this structured promoted catalyst (m_PtCeAl+ZrEuMo_5) in industrial conditions at the tested high space velocity makes it quite promising for future mobile devices applications, as well as it fosters new WGS catalysts design based on proton conductors.</w:t>
      </w:r>
    </w:p>
    <w:p w14:paraId="44BA18DB" w14:textId="77777777" w:rsidR="00256196" w:rsidRPr="001519D1" w:rsidRDefault="00256196" w:rsidP="00B32CFD">
      <w:pPr>
        <w:spacing w:after="0" w:line="360" w:lineRule="auto"/>
        <w:rPr>
          <w:rFonts w:ascii="Arial" w:hAnsi="Arial" w:cs="Arial"/>
          <w:lang w:val="en-US"/>
        </w:rPr>
      </w:pPr>
    </w:p>
    <w:p w14:paraId="1E97144D" w14:textId="79C938F5" w:rsidR="00B32CFD" w:rsidRPr="001519D1" w:rsidRDefault="00B32CFD" w:rsidP="00B32CFD">
      <w:pPr>
        <w:spacing w:after="0" w:line="360" w:lineRule="auto"/>
        <w:rPr>
          <w:rFonts w:ascii="Arial" w:hAnsi="Arial" w:cs="Arial"/>
          <w:b/>
          <w:bCs/>
          <w:lang w:val="en-US"/>
        </w:rPr>
      </w:pPr>
      <w:r w:rsidRPr="001519D1">
        <w:rPr>
          <w:rFonts w:ascii="Arial" w:hAnsi="Arial" w:cs="Arial"/>
          <w:b/>
          <w:bCs/>
          <w:lang w:val="en-US"/>
        </w:rPr>
        <w:t>Acknowledgements</w:t>
      </w:r>
      <w:r w:rsidR="00D40211" w:rsidRPr="001519D1">
        <w:rPr>
          <w:rFonts w:ascii="Arial" w:hAnsi="Arial" w:cs="Arial"/>
          <w:b/>
          <w:bCs/>
          <w:lang w:val="en-US"/>
        </w:rPr>
        <w:t>/Funding</w:t>
      </w:r>
    </w:p>
    <w:p w14:paraId="24F29F6C" w14:textId="674A8133" w:rsidR="00B32CFD" w:rsidRPr="001519D1" w:rsidRDefault="00B32CFD" w:rsidP="00B32CFD">
      <w:pPr>
        <w:spacing w:after="0" w:line="360" w:lineRule="auto"/>
        <w:rPr>
          <w:rFonts w:ascii="Arial" w:hAnsi="Arial" w:cs="Arial"/>
          <w:lang w:val="en-US"/>
        </w:rPr>
      </w:pPr>
      <w:r w:rsidRPr="001519D1">
        <w:rPr>
          <w:rFonts w:ascii="Arial" w:hAnsi="Arial" w:cs="Arial"/>
          <w:lang w:val="en-US"/>
        </w:rPr>
        <w:t xml:space="preserve">Financial support for this work </w:t>
      </w:r>
      <w:r w:rsidR="00D40211" w:rsidRPr="001519D1">
        <w:rPr>
          <w:rFonts w:ascii="Arial" w:hAnsi="Arial" w:cs="Arial"/>
          <w:lang w:val="en-US"/>
        </w:rPr>
        <w:t>by</w:t>
      </w:r>
      <w:r w:rsidRPr="001519D1">
        <w:rPr>
          <w:rFonts w:ascii="Arial" w:hAnsi="Arial" w:cs="Arial"/>
          <w:lang w:val="en-US"/>
        </w:rPr>
        <w:t xml:space="preserve"> the Spanish Ministerio de Economía y Competitividad (MINECO) (ENE2015-66975-C3-2-R</w:t>
      </w:r>
      <w:r w:rsidR="00D42159" w:rsidRPr="001519D1">
        <w:rPr>
          <w:rFonts w:ascii="Arial" w:hAnsi="Arial" w:cs="Arial"/>
          <w:lang w:val="en-US"/>
        </w:rPr>
        <w:t xml:space="preserve"> and RTI2018-096294-B-C33</w:t>
      </w:r>
      <w:r w:rsidRPr="001519D1">
        <w:rPr>
          <w:rFonts w:ascii="Arial" w:hAnsi="Arial" w:cs="Arial"/>
          <w:lang w:val="en-US"/>
        </w:rPr>
        <w:t xml:space="preserve">). </w:t>
      </w:r>
    </w:p>
    <w:p w14:paraId="016BEE71" w14:textId="77777777" w:rsidR="00256196" w:rsidRPr="001519D1" w:rsidRDefault="00256196" w:rsidP="00B32CFD">
      <w:pPr>
        <w:spacing w:after="0" w:line="360" w:lineRule="auto"/>
        <w:rPr>
          <w:rFonts w:ascii="Arial" w:hAnsi="Arial" w:cs="Arial"/>
          <w:lang w:val="en-US"/>
        </w:rPr>
      </w:pPr>
    </w:p>
    <w:p w14:paraId="0ADAB6B9" w14:textId="3E44D021" w:rsidR="00B32CFD" w:rsidRPr="001519D1" w:rsidRDefault="00256196" w:rsidP="00B32CFD">
      <w:pPr>
        <w:spacing w:after="0" w:line="360" w:lineRule="auto"/>
        <w:rPr>
          <w:rFonts w:ascii="Arial" w:hAnsi="Arial" w:cs="Arial"/>
          <w:b/>
          <w:bCs/>
          <w:lang w:val="en-US"/>
        </w:rPr>
      </w:pPr>
      <w:r w:rsidRPr="001519D1">
        <w:rPr>
          <w:rFonts w:ascii="Arial" w:hAnsi="Arial" w:cs="Arial"/>
          <w:b/>
          <w:bCs/>
          <w:lang w:val="en-US"/>
        </w:rPr>
        <w:t>R</w:t>
      </w:r>
      <w:r w:rsidR="00B32CFD" w:rsidRPr="001519D1">
        <w:rPr>
          <w:rFonts w:ascii="Arial" w:hAnsi="Arial" w:cs="Arial"/>
          <w:b/>
          <w:bCs/>
          <w:lang w:val="en-US"/>
        </w:rPr>
        <w:t>eferences</w:t>
      </w:r>
    </w:p>
    <w:p w14:paraId="72F2401C" w14:textId="7998D08A" w:rsidR="00194472" w:rsidRPr="001519D1" w:rsidRDefault="00256196"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lang w:val="en-US"/>
        </w:rPr>
        <w:fldChar w:fldCharType="begin" w:fldLock="1"/>
      </w:r>
      <w:r w:rsidRPr="001519D1">
        <w:rPr>
          <w:rFonts w:ascii="Arial" w:hAnsi="Arial" w:cs="Arial"/>
          <w:lang w:val="en-US"/>
        </w:rPr>
        <w:instrText xml:space="preserve">ADDIN Mendeley Bibliography CSL_BIBLIOGRAPHY </w:instrText>
      </w:r>
      <w:r w:rsidRPr="001519D1">
        <w:rPr>
          <w:rFonts w:ascii="Arial" w:hAnsi="Arial" w:cs="Arial"/>
          <w:lang w:val="en-US"/>
        </w:rPr>
        <w:fldChar w:fldCharType="separate"/>
      </w:r>
      <w:r w:rsidR="00194472" w:rsidRPr="001519D1">
        <w:rPr>
          <w:rFonts w:ascii="Arial" w:hAnsi="Arial" w:cs="Arial"/>
          <w:noProof/>
          <w:szCs w:val="24"/>
        </w:rPr>
        <w:t>[1]</w:t>
      </w:r>
      <w:r w:rsidR="00194472" w:rsidRPr="001519D1">
        <w:rPr>
          <w:rFonts w:ascii="Arial" w:hAnsi="Arial" w:cs="Arial"/>
          <w:noProof/>
          <w:szCs w:val="24"/>
        </w:rPr>
        <w:tab/>
        <w:t>R.J. Farrauto, Y. Liu, W. Ruettinger, O. Ilinich, L. Shore, T. Giroux, Precious Metal Catalysts Supported on Ceramic and Metal Monolithic Structures for the Hydrogen Economy, Catal. Rev. Sci. Eng. 49 (2007) 141–196. https://doi.org/10.1080/01614940701220496.</w:t>
      </w:r>
    </w:p>
    <w:p w14:paraId="529263D6"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[2]</w:t>
      </w:r>
      <w:r w:rsidRPr="001519D1">
        <w:rPr>
          <w:rFonts w:ascii="Arial" w:hAnsi="Arial" w:cs="Arial"/>
          <w:noProof/>
          <w:szCs w:val="24"/>
        </w:rPr>
        <w:tab/>
        <w:t>C. Ratnasamy, J.P. Wagner, Water Gas Shift Catalysis, Catal. Rev. Sci. Eng. 51 (2009) 325–440. https://doi.org/10.1080/01614940903048661.</w:t>
      </w:r>
    </w:p>
    <w:p w14:paraId="550CF7B6"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[3]</w:t>
      </w:r>
      <w:r w:rsidRPr="001519D1">
        <w:rPr>
          <w:rFonts w:ascii="Arial" w:hAnsi="Arial" w:cs="Arial"/>
          <w:noProof/>
          <w:szCs w:val="24"/>
        </w:rPr>
        <w:tab/>
        <w:t>T.D. Nguyen-Phan, A.E. Baber, J.A. Rodriguez, S.D. Senanayake, Au and Pt nanoparticle supported catalysts tailored for H2production: From models to powder catalysts, Appl. Catal. A Gen. 518 (2016) 18–47. https://doi.org/10.1016/j.apcata.2015.12.012.</w:t>
      </w:r>
    </w:p>
    <w:p w14:paraId="6D87DB54"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[4]</w:t>
      </w:r>
      <w:r w:rsidRPr="001519D1">
        <w:rPr>
          <w:rFonts w:ascii="Arial" w:hAnsi="Arial" w:cs="Arial"/>
          <w:noProof/>
          <w:szCs w:val="24"/>
        </w:rPr>
        <w:tab/>
        <w:t>S. Saeidi, F. Fazlollahi, S. Najari, D. Iranshahi, J.J. Klemeš, L.L. Baxter, Hydrogen production: Perspectives, separation with special emphasis on kinetics of WGS reaction: A state-of-the-art review, J. Ind. Eng. Chem. 49 (2017) 1–25. https://doi.org/10.1016/j.jiec.2016.12.003.</w:t>
      </w:r>
    </w:p>
    <w:p w14:paraId="0FF61A08"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[5]</w:t>
      </w:r>
      <w:r w:rsidRPr="001519D1">
        <w:rPr>
          <w:rFonts w:ascii="Arial" w:hAnsi="Arial" w:cs="Arial"/>
          <w:noProof/>
          <w:szCs w:val="24"/>
        </w:rPr>
        <w:tab/>
        <w:t>G. Kolb, The Chemistry of Fuel Processing, in: Fuel Process. Fuel Cells, Wiley-VCH, Weinheim, 2008: pp. 17–55. https://doi.org/10.1002/9783527625154.ch3.</w:t>
      </w:r>
    </w:p>
    <w:p w14:paraId="6F5169C3"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[6]</w:t>
      </w:r>
      <w:r w:rsidRPr="001519D1">
        <w:rPr>
          <w:rFonts w:ascii="Arial" w:hAnsi="Arial" w:cs="Arial"/>
          <w:noProof/>
          <w:szCs w:val="24"/>
        </w:rPr>
        <w:tab/>
        <w:t>N. García-Moncada, L.F. Bobadilla, R. Poyato, C. López-Cartes, F. Romero-Sarria, M.Á. Centeno, J.A. Odriozola, A direct in situ observation of water-enhanced proton conductivity of Eu-doped ZrO2: Effect on WGS reaction, Appl. Catal. B Environ. 231 (2018) 343–356. https://doi.org/10.1016/j.apcatb.2018.03.001.</w:t>
      </w:r>
    </w:p>
    <w:p w14:paraId="21535B46"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[7]</w:t>
      </w:r>
      <w:r w:rsidRPr="001519D1">
        <w:rPr>
          <w:rFonts w:ascii="Arial" w:hAnsi="Arial" w:cs="Arial"/>
          <w:noProof/>
          <w:szCs w:val="24"/>
        </w:rPr>
        <w:tab/>
        <w:t>J.A. Odriozola, S. Ivanova, F. Romero-Sarria, N. García-Moncada, M. González-Castaño, M.Á. Centeno, Spanish Patent ES2595937B1 “Complejo catalítico conformado por la mezcla de catalizador y conductor iónico,” 2017.</w:t>
      </w:r>
    </w:p>
    <w:p w14:paraId="15E14275"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[8]</w:t>
      </w:r>
      <w:r w:rsidRPr="001519D1">
        <w:rPr>
          <w:rFonts w:ascii="Arial" w:hAnsi="Arial" w:cs="Arial"/>
          <w:noProof/>
          <w:szCs w:val="24"/>
        </w:rPr>
        <w:tab/>
        <w:t>N. García-Moncada, M. González-Castaño, S. Ivanova, M.Á. Centeno, F. Romero-</w:t>
      </w:r>
      <w:r w:rsidRPr="001519D1">
        <w:rPr>
          <w:rFonts w:ascii="Arial" w:hAnsi="Arial" w:cs="Arial"/>
          <w:noProof/>
          <w:szCs w:val="24"/>
        </w:rPr>
        <w:lastRenderedPageBreak/>
        <w:t>Sarria, J.A. Odriozola, New concept for old reaction: Novel WGS catalyst design, Appl. Catal. B Environ. 238 (2018) 1–5. https://doi.org/10.1016/j.apcatb.2018.06.068.</w:t>
      </w:r>
    </w:p>
    <w:p w14:paraId="7DBF348D"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[9]</w:t>
      </w:r>
      <w:r w:rsidRPr="001519D1">
        <w:rPr>
          <w:rFonts w:ascii="Arial" w:hAnsi="Arial" w:cs="Arial"/>
          <w:noProof/>
          <w:szCs w:val="24"/>
        </w:rPr>
        <w:tab/>
        <w:t>K.-D. Kreuer, Proton Conductivity:  Materials and Applications, Chem. Mater. 8 (1996) 610–641. https://doi.org/10.1021/cm950192a.</w:t>
      </w:r>
    </w:p>
    <w:p w14:paraId="2B501250"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[10]</w:t>
      </w:r>
      <w:r w:rsidRPr="001519D1">
        <w:rPr>
          <w:rFonts w:ascii="Arial" w:hAnsi="Arial" w:cs="Arial"/>
          <w:noProof/>
          <w:szCs w:val="24"/>
        </w:rPr>
        <w:tab/>
        <w:t>B. Scherrer, M.V.F. Schlupp, D. Stender, J. Martynczuk, J.G. Grolig, H. Ma, P. Kocher, T. Lippert, M. Prestat, L.J. Gauckler, On Proton Conductivity in Porous and Dense Yttria Stabilized Zirconia at Low Temperature, Adv. Funct. Mater. 23 (2013) 1957–1964. https://doi.org/10.1002/adfm.201202020.</w:t>
      </w:r>
    </w:p>
    <w:p w14:paraId="39DB621A"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[11]</w:t>
      </w:r>
      <w:r w:rsidRPr="001519D1">
        <w:rPr>
          <w:rFonts w:ascii="Arial" w:hAnsi="Arial" w:cs="Arial"/>
          <w:noProof/>
          <w:szCs w:val="24"/>
        </w:rPr>
        <w:tab/>
        <w:t>V. Morozov, A. Arakcheeva, B. Redkin, V. Sinitsyn, S. Khasanov, E. Kudrenko, M. Raskina, O. Lebedev, G. Van Tendeloo, Na2/7Gd4/7MoO4: a Modulated Scheelite-Type Structure and Conductivity Properties, Inorg. Chem. 51 (2012) 5313–5324.</w:t>
      </w:r>
    </w:p>
    <w:p w14:paraId="304F4D86"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[12]</w:t>
      </w:r>
      <w:r w:rsidRPr="001519D1">
        <w:rPr>
          <w:rFonts w:ascii="Arial" w:hAnsi="Arial" w:cs="Arial"/>
          <w:noProof/>
          <w:szCs w:val="24"/>
        </w:rPr>
        <w:tab/>
        <w:t>H. El Khal, A. Cordier, N. Batis, E. Siebert, S. Georges, M.C. Steil, Effect of porosity on the electrical conductivity of LAMOX materials, Solid State Ionics. 304 (2017) 75–84. https://doi.org/10.1016/j.ssi.2017.03.028.</w:t>
      </w:r>
    </w:p>
    <w:p w14:paraId="6D5DCB7E"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[13]</w:t>
      </w:r>
      <w:r w:rsidRPr="001519D1">
        <w:rPr>
          <w:rFonts w:ascii="Arial" w:hAnsi="Arial" w:cs="Arial"/>
          <w:noProof/>
          <w:szCs w:val="24"/>
        </w:rPr>
        <w:tab/>
        <w:t>A.B. Muñoz-García, M. Pavone, A.M. Ritzmann, E.A. Carter, Oxide ion transport in Sr2Fe1.5Mo0.5O(6-δ), a mixed ion-electron conductor: new insights from first principles modeling, Phys. Chem. Chem. Phys. 15 (2013) 6250–6259. https://doi.org/10.1039/c3cp50995h.</w:t>
      </w:r>
    </w:p>
    <w:p w14:paraId="42549B5B"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[14]</w:t>
      </w:r>
      <w:r w:rsidRPr="001519D1">
        <w:rPr>
          <w:rFonts w:ascii="Arial" w:hAnsi="Arial" w:cs="Arial"/>
          <w:noProof/>
          <w:szCs w:val="24"/>
        </w:rPr>
        <w:tab/>
        <w:t>A. Aguadero, D. Perez-Coll, J.A. Alonso, S.J. Skinner, J.A. Kilner, A new family of Mo-doped SrCoO3-delta perovskites for application in reversible solid state electrochemical cells, Chem. Mater. 24 (2012) 2655–2663. https://doi.org/10.1021/cm300255r.</w:t>
      </w:r>
    </w:p>
    <w:p w14:paraId="42D8D231"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[15]</w:t>
      </w:r>
      <w:r w:rsidRPr="001519D1">
        <w:rPr>
          <w:rFonts w:ascii="Arial" w:hAnsi="Arial" w:cs="Arial"/>
          <w:noProof/>
          <w:szCs w:val="24"/>
        </w:rPr>
        <w:tab/>
        <w:t>J.-C. Lo, D.-S. Tsai, Y.-C. Chen, M.-V. Le, W.-H. Chung, F.-J. Liu, La2Mo2O9-based electrolyte: Ion conductivity and anode-supported cell under single chamber conditions, J. Am. Ceram. Soc. 94 (2011) 806–811. https://doi.org/10.1111/j.1551-2916.2010.04168.x.</w:t>
      </w:r>
    </w:p>
    <w:p w14:paraId="13047D5E"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[16]</w:t>
      </w:r>
      <w:r w:rsidRPr="001519D1">
        <w:rPr>
          <w:rFonts w:ascii="Arial" w:hAnsi="Arial" w:cs="Arial"/>
          <w:noProof/>
          <w:szCs w:val="24"/>
        </w:rPr>
        <w:tab/>
        <w:t>J.E. Vega-Castillo, U.K. Ravella, G. Corbel, P. Lacorre, A. Caneiro, Thermodynamic stability, structural and electrical characterization of mixed ionic and electronic conductor La2Mo2O8.96, Dalt. Trans. 41 (2012) 7266–7271. https://doi.org/10.1039/c2dt30261f.</w:t>
      </w:r>
    </w:p>
    <w:p w14:paraId="2E4A3147"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[17]</w:t>
      </w:r>
      <w:r w:rsidRPr="001519D1">
        <w:rPr>
          <w:rFonts w:ascii="Arial" w:hAnsi="Arial" w:cs="Arial"/>
          <w:noProof/>
          <w:szCs w:val="24"/>
        </w:rPr>
        <w:tab/>
        <w:t>M. Amsif, A. Magrasó, D. Marrero-López, J.C. Ruiz-Morales, J. Canales-Vázquez, P. Núñez, Mo-Substituted Lanthanum Tungstate La28-yW4+yO54+delta: A Competitive Mixed Electron-Proton Conductor for Gas Separation Membrane Applications, Chem. Mater. 24 (2012) 3868–3877. https://doi.org/10.1021/cm301723a.</w:t>
      </w:r>
    </w:p>
    <w:p w14:paraId="6F51381F"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[18]</w:t>
      </w:r>
      <w:r w:rsidRPr="001519D1">
        <w:rPr>
          <w:rFonts w:ascii="Arial" w:hAnsi="Arial" w:cs="Arial"/>
          <w:noProof/>
          <w:szCs w:val="24"/>
        </w:rPr>
        <w:tab/>
        <w:t>L. Malavasi, C.A.J. Fisher, M.S. Islam, Oxide-ion and proton conducting electrolyte materials for clean energy applications: structural and mechanistic features, Chem. Soc. Rev. 39 (2010) 4370–4387. https://doi.org/10.1039/b915141a.</w:t>
      </w:r>
    </w:p>
    <w:p w14:paraId="19E2FA78"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lastRenderedPageBreak/>
        <w:t>[19]</w:t>
      </w:r>
      <w:r w:rsidRPr="001519D1">
        <w:rPr>
          <w:rFonts w:ascii="Arial" w:hAnsi="Arial" w:cs="Arial"/>
          <w:noProof/>
          <w:szCs w:val="24"/>
        </w:rPr>
        <w:tab/>
        <w:t>A. Navrotsky, Thermodynamics of solid electrolytes and related oxide ceramics based on the fluorite structure, J. Mater. Chem. 20 (2010) 10577–10587. https://doi.org/10.1039/c0jm01521k.</w:t>
      </w:r>
    </w:p>
    <w:p w14:paraId="33AF9527"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[20]</w:t>
      </w:r>
      <w:r w:rsidRPr="001519D1">
        <w:rPr>
          <w:rFonts w:ascii="Arial" w:hAnsi="Arial" w:cs="Arial"/>
          <w:noProof/>
          <w:szCs w:val="24"/>
        </w:rPr>
        <w:tab/>
        <w:t>C.-T. Chen, S. Sen, S. Kim, Effective Concentration of Mobile Oxygen-Vacancies in Heavily Doped Cubic Zirconia: Results from Combined Electrochemical Impedance and NMR Spectroscopies, Chem. Mater. 24 (2012) 3604–3609.</w:t>
      </w:r>
    </w:p>
    <w:p w14:paraId="71F9BE8D"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[21]</w:t>
      </w:r>
      <w:r w:rsidRPr="001519D1">
        <w:rPr>
          <w:rFonts w:ascii="Arial" w:hAnsi="Arial" w:cs="Arial"/>
          <w:noProof/>
          <w:szCs w:val="24"/>
        </w:rPr>
        <w:tab/>
        <w:t>J. Marcus, C. Escribe-Filippini, R. Chevalier, R. Buder, Magnetic properties and 151Eu Mössbauer spectroscopy of a new molybdenum bronze: Eu0.08MoO3, Solid State Commun. 62 (1987) 221–223.</w:t>
      </w:r>
    </w:p>
    <w:p w14:paraId="151008B5"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[22]</w:t>
      </w:r>
      <w:r w:rsidRPr="001519D1">
        <w:rPr>
          <w:rFonts w:ascii="Arial" w:hAnsi="Arial" w:cs="Arial"/>
          <w:noProof/>
          <w:szCs w:val="24"/>
        </w:rPr>
        <w:tab/>
        <w:t>A.M. Chippindale, A.K. Cheetham, Chapter 3. The oxide chemistry of molybdenum, in: E.R. Braithwaite, J. Haber (Eds.), Molybdenum An Outl. Its Chem. Uses, Elsevier Science B.V, The Netherlands, 1994: pp. 146–184.</w:t>
      </w:r>
    </w:p>
    <w:p w14:paraId="232AC75F"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[23]</w:t>
      </w:r>
      <w:r w:rsidRPr="001519D1">
        <w:rPr>
          <w:rFonts w:ascii="Arial" w:hAnsi="Arial" w:cs="Arial"/>
          <w:noProof/>
          <w:szCs w:val="24"/>
        </w:rPr>
        <w:tab/>
        <w:t>R. Schöllhorn, R. Kuhlmann, J.O. Besenhard, Topotactic redox reactions and ion exchange of layered MoO3 bronzes, Mater. Res. Bull. 11 (1976) 83–90. https://doi.org/10.1016/0025-5408(76)90218-X.</w:t>
      </w:r>
    </w:p>
    <w:p w14:paraId="3B2F4328"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[24]</w:t>
      </w:r>
      <w:r w:rsidRPr="001519D1">
        <w:rPr>
          <w:rFonts w:ascii="Arial" w:hAnsi="Arial" w:cs="Arial"/>
          <w:noProof/>
          <w:szCs w:val="24"/>
        </w:rPr>
        <w:tab/>
        <w:t>J.J. Birtill, P.G. Dickens, Phase relationships in the system HxMoO3 (0&lt;x&lt;=2.0), Mater. Res. Bull. 13 (1978) 311–316.</w:t>
      </w:r>
    </w:p>
    <w:p w14:paraId="1F301F7D"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[25]</w:t>
      </w:r>
      <w:r w:rsidRPr="001519D1">
        <w:rPr>
          <w:rFonts w:ascii="Arial" w:hAnsi="Arial" w:cs="Arial"/>
          <w:noProof/>
          <w:szCs w:val="24"/>
        </w:rPr>
        <w:tab/>
        <w:t>S. Adams, CDW Superstructures in Hydrogen Molybdenum Bronzes HxMoO3, J. Solid State Chem. 149 (2000) 75–87. https://doi.org/10.1006/jssc.1999.8498.</w:t>
      </w:r>
    </w:p>
    <w:p w14:paraId="1434BC9B"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[26]</w:t>
      </w:r>
      <w:r w:rsidRPr="001519D1">
        <w:rPr>
          <w:rFonts w:ascii="Arial" w:hAnsi="Arial" w:cs="Arial"/>
          <w:noProof/>
          <w:szCs w:val="24"/>
        </w:rPr>
        <w:tab/>
        <w:t>R. Schöllhorn, T. Schulte-Nölle, G. Steinhoff, Layered intercalation complexes of the hydrogen bronze H0.5MoO3 with organic lewis bases, J. Less-Common Met. 71 (1980) 71–78.</w:t>
      </w:r>
    </w:p>
    <w:p w14:paraId="463430A5"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[27]</w:t>
      </w:r>
      <w:r w:rsidRPr="001519D1">
        <w:rPr>
          <w:rFonts w:ascii="Arial" w:hAnsi="Arial" w:cs="Arial"/>
          <w:noProof/>
          <w:szCs w:val="24"/>
        </w:rPr>
        <w:tab/>
        <w:t>P.K.S. Bollapragada, Chemical transformations using tungsten and molybdenum hydrogen bronzes, 2003.</w:t>
      </w:r>
    </w:p>
    <w:p w14:paraId="5B3AF578"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[28]</w:t>
      </w:r>
      <w:r w:rsidRPr="001519D1">
        <w:rPr>
          <w:rFonts w:ascii="Arial" w:hAnsi="Arial" w:cs="Arial"/>
          <w:noProof/>
          <w:szCs w:val="24"/>
        </w:rPr>
        <w:tab/>
        <w:t>L. Seguin, M. Figlarz, R. Cavagnat, J.-C. Lassègues, Infrared and Raman spectra of MoO3 molybdenum trioxides and MoO3·xH2O molybdenum trioxide hydrates, Spectrochim. Acta Part A. 51 (1995) 1323–1344.</w:t>
      </w:r>
    </w:p>
    <w:p w14:paraId="7FE7DA07"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[29]</w:t>
      </w:r>
      <w:r w:rsidRPr="001519D1">
        <w:rPr>
          <w:rFonts w:ascii="Arial" w:hAnsi="Arial" w:cs="Arial"/>
          <w:noProof/>
          <w:szCs w:val="24"/>
        </w:rPr>
        <w:tab/>
        <w:t>P.G. Dickens, J.J. Birtill, C.J. Wright, Elastic and Inelastic Neutron Studies of Hydrogen Molybdenum Bronzes, J. Solid State Chem. 28 (1979) 185–193.</w:t>
      </w:r>
    </w:p>
    <w:p w14:paraId="7CA42BC9"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[30]</w:t>
      </w:r>
      <w:r w:rsidRPr="001519D1">
        <w:rPr>
          <w:rFonts w:ascii="Arial" w:hAnsi="Arial" w:cs="Arial"/>
          <w:noProof/>
          <w:szCs w:val="24"/>
        </w:rPr>
        <w:tab/>
        <w:t>G.M. Pajonk, S.J. Teichner, J.E. Germain, eds., Spillover of Adsorbed Species, Elsevier Science Publishers B.V, Amsterdam, The Netherlands, 1983. https://doi.org/10.1016/S0167-2991(08)64669-8.</w:t>
      </w:r>
    </w:p>
    <w:p w14:paraId="4130B7C7"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[31]</w:t>
      </w:r>
      <w:r w:rsidRPr="001519D1">
        <w:rPr>
          <w:rFonts w:ascii="Arial" w:hAnsi="Arial" w:cs="Arial"/>
          <w:noProof/>
          <w:szCs w:val="24"/>
        </w:rPr>
        <w:tab/>
        <w:t>H. Tagaya, K. Ara, J. Kadokawa, M. Karasu, K. Chiba, Intercalation of Organic Compounds in the Layered Host Lattice MoO3, J. Mater. Chem. 4 (1994) 551–555.</w:t>
      </w:r>
    </w:p>
    <w:p w14:paraId="05072D94"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[32]</w:t>
      </w:r>
      <w:r w:rsidRPr="001519D1">
        <w:rPr>
          <w:rFonts w:ascii="Arial" w:hAnsi="Arial" w:cs="Arial"/>
          <w:noProof/>
          <w:szCs w:val="24"/>
        </w:rPr>
        <w:tab/>
        <w:t>L. Bartha, A.B. Kiss, T. Szalay, Chemistry of Tungsten Oxide Bronzes, Int. J. Refract. Met. Hard Mater. 13 (1995) 77–91. https://doi.org/10.1016/0263-4368(94)00031-X.</w:t>
      </w:r>
    </w:p>
    <w:p w14:paraId="7F6C49E6"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[33]</w:t>
      </w:r>
      <w:r w:rsidRPr="001519D1">
        <w:rPr>
          <w:rFonts w:ascii="Arial" w:hAnsi="Arial" w:cs="Arial"/>
          <w:noProof/>
          <w:szCs w:val="24"/>
        </w:rPr>
        <w:tab/>
        <w:t xml:space="preserve">T. Szalay, A. Ludányi, B.A. Kiss, Ion exchange adsorption processes on the surface of </w:t>
      </w:r>
      <w:r w:rsidRPr="001519D1">
        <w:rPr>
          <w:rFonts w:ascii="Arial" w:hAnsi="Arial" w:cs="Arial"/>
          <w:noProof/>
          <w:szCs w:val="24"/>
        </w:rPr>
        <w:lastRenderedPageBreak/>
        <w:t>ammonium tungsten oxide bronze in aqueous media, J. Mater. Sci. 22 (1987) 3543–3546. https://doi.org/10.1007/BF01161456.</w:t>
      </w:r>
    </w:p>
    <w:p w14:paraId="785BF32A"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[34]</w:t>
      </w:r>
      <w:r w:rsidRPr="001519D1">
        <w:rPr>
          <w:rFonts w:ascii="Arial" w:hAnsi="Arial" w:cs="Arial"/>
          <w:noProof/>
          <w:szCs w:val="24"/>
        </w:rPr>
        <w:tab/>
        <w:t>S. Govender, H.B. Friedrich, Monoliths: A Review of the Basics, Preparation Methods and Their Relevance to Oxidation, Catalysts. 7 (2017) 1–29. https://doi.org/10.3390/catal7020062.</w:t>
      </w:r>
    </w:p>
    <w:p w14:paraId="7A8C80C6"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[35]</w:t>
      </w:r>
      <w:r w:rsidRPr="001519D1">
        <w:rPr>
          <w:rFonts w:ascii="Arial" w:hAnsi="Arial" w:cs="Arial"/>
          <w:noProof/>
          <w:szCs w:val="24"/>
        </w:rPr>
        <w:tab/>
        <w:t>V. Palma, D. Pisano, M. Martino, CFD modeling of the influence of carrier thermal conductivity for structured catalysts in the WGS reaction, Chem. Eng. Sci. 178 (2018) 1–11. https://doi.org/10.1016/j.ces.2017.12.035.</w:t>
      </w:r>
    </w:p>
    <w:p w14:paraId="7B352922"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[36]</w:t>
      </w:r>
      <w:r w:rsidRPr="001519D1">
        <w:rPr>
          <w:rFonts w:ascii="Arial" w:hAnsi="Arial" w:cs="Arial"/>
          <w:noProof/>
          <w:szCs w:val="24"/>
        </w:rPr>
        <w:tab/>
        <w:t>V. Palma, D. Pisano, M. Martino, Structured noble metal-based catalysts for the WGS process intensification, Int. J. Hydrogen Energy. 43 (2018) 11745–11754. https://doi.org/10.1016/j.ijhydene.2018.01.085.</w:t>
      </w:r>
    </w:p>
    <w:p w14:paraId="4177EB46"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[37]</w:t>
      </w:r>
      <w:r w:rsidRPr="001519D1">
        <w:rPr>
          <w:rFonts w:ascii="Arial" w:hAnsi="Arial" w:cs="Arial"/>
          <w:noProof/>
          <w:szCs w:val="24"/>
        </w:rPr>
        <w:tab/>
        <w:t>N. García-Moncada, G. Groppi, A. Beretta, F. Romero-Sarria, J.A. Odriozola, Metal Micro-Monoliths for the Kinetic Study and the Intensification of the Water Gas Shift Reaction, Catalysts. 8 (2018) 594. https://doi.org/10.3390/catal8120594.</w:t>
      </w:r>
    </w:p>
    <w:p w14:paraId="3089A1E4"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[38]</w:t>
      </w:r>
      <w:r w:rsidRPr="001519D1">
        <w:rPr>
          <w:rFonts w:ascii="Arial" w:hAnsi="Arial" w:cs="Arial"/>
          <w:noProof/>
          <w:szCs w:val="24"/>
        </w:rPr>
        <w:tab/>
        <w:t>M. González-Castaño, E. Le Saché, S. Ivanova, F. Romero-Sarria, M.A. Centeno, J.A. Odriozola, Tailoring structured WGS catalysts: Impact of multilayered concept on the water surface interactions, Appl. Catal. B Environ. 222 (2018) 124–132. https://doi.org/10.1016/j.apcatb.2017.10.018.</w:t>
      </w:r>
    </w:p>
    <w:p w14:paraId="2B1469EB"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[39]</w:t>
      </w:r>
      <w:r w:rsidRPr="001519D1">
        <w:rPr>
          <w:rFonts w:ascii="Arial" w:hAnsi="Arial" w:cs="Arial"/>
          <w:noProof/>
          <w:szCs w:val="24"/>
        </w:rPr>
        <w:tab/>
        <w:t>O.H. Laguna, M.I. Domínguez, M.A. Centeno, J.A. Odriozola, Catalysts on Metallic Surfaces: Monoliths and Microreactors, in: V.I. Parvulescu, E. Kemnitz (Eds.), New Mater. Catal. Appl., Elsevier B.V., 2016: pp. 81–120. https://doi.org/10.1016/B978-0-444-63587-7.00004-4.</w:t>
      </w:r>
    </w:p>
    <w:p w14:paraId="493017CA"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[40]</w:t>
      </w:r>
      <w:r w:rsidRPr="001519D1">
        <w:rPr>
          <w:rFonts w:ascii="Arial" w:hAnsi="Arial" w:cs="Arial"/>
          <w:noProof/>
          <w:szCs w:val="24"/>
        </w:rPr>
        <w:tab/>
        <w:t>L.C. Almeida, F.J. Echave, O. Sanz, M.A. Centeno, J.A. Odriozola, M. Montes, Washcoating of metallic monoliths and microchannel reactors, Elsevier B.V., 2010. https://doi.org/10.1016/S0167-2991(10)75004-7.</w:t>
      </w:r>
    </w:p>
    <w:p w14:paraId="550D7BCB"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[41]</w:t>
      </w:r>
      <w:r w:rsidRPr="001519D1">
        <w:rPr>
          <w:rFonts w:ascii="Arial" w:hAnsi="Arial" w:cs="Arial"/>
          <w:noProof/>
          <w:szCs w:val="24"/>
        </w:rPr>
        <w:tab/>
        <w:t>S. Yasaki, Y. Yoshino, K. Ihara, K. Ohkubo, US Patent 5,208,206 Method of manufacturing an exhaust gas purifying catalyst, 5,208,206, 1993.</w:t>
      </w:r>
    </w:p>
    <w:p w14:paraId="01530BAB"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[42]</w:t>
      </w:r>
      <w:r w:rsidRPr="001519D1">
        <w:rPr>
          <w:rFonts w:ascii="Arial" w:hAnsi="Arial" w:cs="Arial"/>
          <w:noProof/>
          <w:szCs w:val="24"/>
        </w:rPr>
        <w:tab/>
        <w:t>K.V.R. Chary, K.R. Reddy, G. Kishan, J.W. Niemantsverdriet, G. Mestl, Structure and catalytic properties of molybdenum oxide catalysts supported on zirconia, J. Catal. 226 (2004) 283–291. https://doi.org/10.1016/j.jcat.2004.04.028.</w:t>
      </w:r>
    </w:p>
    <w:p w14:paraId="69F34854"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[43]</w:t>
      </w:r>
      <w:r w:rsidRPr="001519D1">
        <w:rPr>
          <w:rFonts w:ascii="Arial" w:hAnsi="Arial" w:cs="Arial"/>
          <w:noProof/>
          <w:szCs w:val="24"/>
        </w:rPr>
        <w:tab/>
        <w:t>P. Afanasiev, On the metastability of “monolayer coverage” in the MoO3/ZrO2 dispersions, Mater. Chem. Phys. 47 (1997) 231–238. https://doi.org/10.1016/S0254-0584(97)80056-9.</w:t>
      </w:r>
    </w:p>
    <w:p w14:paraId="352ABAF9"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[44]</w:t>
      </w:r>
      <w:r w:rsidRPr="001519D1">
        <w:rPr>
          <w:rFonts w:ascii="Arial" w:hAnsi="Arial" w:cs="Arial"/>
          <w:noProof/>
          <w:szCs w:val="24"/>
        </w:rPr>
        <w:tab/>
        <w:t>P. Afanasiev, C. Geantet, M. Breysse, G. Coudurier, J.C. Vedrine, Influence of Preparation Method on the Acidity of MoO3(WO3)/ZrO2 Catalysts, J. Chem. Soc. Trans. 90 (1994) 193–202. https://doi.org/10.1039/FT9949000193.</w:t>
      </w:r>
    </w:p>
    <w:p w14:paraId="4353BC72"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[45]</w:t>
      </w:r>
      <w:r w:rsidRPr="001519D1">
        <w:rPr>
          <w:rFonts w:ascii="Arial" w:hAnsi="Arial" w:cs="Arial"/>
          <w:noProof/>
          <w:szCs w:val="24"/>
        </w:rPr>
        <w:tab/>
        <w:t xml:space="preserve">D.A. Ward, E.I. Ko, Synthesis and Structural Transformation of Zirconia Aerogels, </w:t>
      </w:r>
      <w:r w:rsidRPr="001519D1">
        <w:rPr>
          <w:rFonts w:ascii="Arial" w:hAnsi="Arial" w:cs="Arial"/>
          <w:noProof/>
          <w:szCs w:val="24"/>
        </w:rPr>
        <w:lastRenderedPageBreak/>
        <w:t>Chem. Mater. 5 (1993) 956–969. https://doi.org/10.1021/cm00031a014.</w:t>
      </w:r>
    </w:p>
    <w:p w14:paraId="7E714105"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[46]</w:t>
      </w:r>
      <w:r w:rsidRPr="001519D1">
        <w:rPr>
          <w:rFonts w:ascii="Arial" w:hAnsi="Arial" w:cs="Arial"/>
          <w:noProof/>
          <w:szCs w:val="24"/>
        </w:rPr>
        <w:tab/>
        <w:t>P. Afanasiev, A. Thiollier, M. Breysse, J.L. Dubois, Control of the textural properties of zirconium oxide, Top. Catal. 8 (1999) 147–160.</w:t>
      </w:r>
    </w:p>
    <w:p w14:paraId="59D85453"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[47]</w:t>
      </w:r>
      <w:r w:rsidRPr="001519D1">
        <w:rPr>
          <w:rFonts w:ascii="Arial" w:hAnsi="Arial" w:cs="Arial"/>
          <w:noProof/>
          <w:szCs w:val="24"/>
        </w:rPr>
        <w:tab/>
        <w:t>Sasol Performance Chemicals, Doped aluminas. Silica-Aluminas, Mixed Metal Oxides, Hydrotalcites., Www.sasolalumina.com. (2017) 1–16.</w:t>
      </w:r>
    </w:p>
    <w:p w14:paraId="5B27E990"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[48]</w:t>
      </w:r>
      <w:r w:rsidRPr="001519D1">
        <w:rPr>
          <w:rFonts w:ascii="Arial" w:hAnsi="Arial" w:cs="Arial"/>
          <w:noProof/>
          <w:szCs w:val="24"/>
        </w:rPr>
        <w:tab/>
        <w:t>H. Tian, C.A. Roberts, I.E. Wachs, Molecular Structural Determination of Molybdena in Different Environments: Aqueous Solutions, Bulk Mixed Oxides, and Supported MoO3 Catalysts, J. Phys. Chem. C. 114 (2010) 14110–14120. https://doi.org/10.1021/jp103269w.</w:t>
      </w:r>
    </w:p>
    <w:p w14:paraId="25382B5B"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[49]</w:t>
      </w:r>
      <w:r w:rsidRPr="001519D1">
        <w:rPr>
          <w:rFonts w:ascii="Arial" w:hAnsi="Arial" w:cs="Arial"/>
          <w:noProof/>
          <w:szCs w:val="24"/>
        </w:rPr>
        <w:tab/>
        <w:t>S.R. Bare, Surface Structure of Highly Dispersed MoO3 on MgO Using in Situ Mo L3-Edge XANES, Langmuir. 14 (1998) 1500–1504. https://doi.org/10.1021/la9707134.</w:t>
      </w:r>
    </w:p>
    <w:p w14:paraId="76E40711"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[50]</w:t>
      </w:r>
      <w:r w:rsidRPr="001519D1">
        <w:rPr>
          <w:rFonts w:ascii="Arial" w:hAnsi="Arial" w:cs="Arial"/>
          <w:noProof/>
          <w:szCs w:val="24"/>
        </w:rPr>
        <w:tab/>
        <w:t>B. Samaranch, P. Ramírez De La Piscina, G. Clet, M. Houalla, N. Homs, Study of the Structure, Acidic, and Catalytic Properties of Binary Mixed-Oxide MoO3-ZrO2 Systems, Chem. Mater. 18 (2006) 1581–1586. https://doi.org/10.1021/cm052433c.</w:t>
      </w:r>
    </w:p>
    <w:p w14:paraId="24EFFC2E"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[51]</w:t>
      </w:r>
      <w:r w:rsidRPr="001519D1">
        <w:rPr>
          <w:rFonts w:ascii="Arial" w:hAnsi="Arial" w:cs="Arial"/>
          <w:noProof/>
          <w:szCs w:val="24"/>
        </w:rPr>
        <w:tab/>
        <w:t>E.R. Braithwaite, J. Haber, eds., Molybdenum: An Outline of its Chemistry and Uses, Elsevier Science B.V, Amsterdam, 1994.</w:t>
      </w:r>
    </w:p>
    <w:p w14:paraId="25AA44DB"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[52]</w:t>
      </w:r>
      <w:r w:rsidRPr="001519D1">
        <w:rPr>
          <w:rFonts w:ascii="Arial" w:hAnsi="Arial" w:cs="Arial"/>
          <w:noProof/>
          <w:szCs w:val="24"/>
        </w:rPr>
        <w:tab/>
        <w:t>H. Hu, I.E. Wachs, S.R. Bare, Surface Structures of Supported Molybdenum Oxide Catalysts: Characterization by Raman and Mo L3-Edge XANES, J. Phys. Chem. 99 (1995) 10897–10910. https://doi.org/10.1021/j100027a034.</w:t>
      </w:r>
    </w:p>
    <w:p w14:paraId="10205EBA"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[53]</w:t>
      </w:r>
      <w:r w:rsidRPr="001519D1">
        <w:rPr>
          <w:rFonts w:ascii="Arial" w:hAnsi="Arial" w:cs="Arial"/>
          <w:noProof/>
          <w:szCs w:val="24"/>
        </w:rPr>
        <w:tab/>
        <w:t>S. Xie, K. Chen, A.T. Bell, E. Iglesia, Structural Characterization of Molybdenum Oxide Supported on Zirconia, J. Phys. Chem. B. 104 (2000) 10059–10068. https://doi.org/10.1021/jp002419h.</w:t>
      </w:r>
    </w:p>
    <w:p w14:paraId="44DEBEE4"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[54]</w:t>
      </w:r>
      <w:r w:rsidRPr="001519D1">
        <w:rPr>
          <w:rFonts w:ascii="Arial" w:hAnsi="Arial" w:cs="Arial"/>
          <w:noProof/>
          <w:szCs w:val="24"/>
        </w:rPr>
        <w:tab/>
        <w:t>Y. Matsuoka, M. Niwa, Y. Murakami, Morphology of molybdena supported on various oxides and its activity for methanol oxidation, J. Phys. Chem. 94 (1990) 1477–1482.</w:t>
      </w:r>
    </w:p>
    <w:p w14:paraId="304E08F2"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[55]</w:t>
      </w:r>
      <w:r w:rsidRPr="001519D1">
        <w:rPr>
          <w:rFonts w:ascii="Arial" w:hAnsi="Arial" w:cs="Arial"/>
          <w:noProof/>
          <w:szCs w:val="24"/>
        </w:rPr>
        <w:tab/>
        <w:t>A.J. Van Hengstum, J.G. Van Ommen, H. Bosch, P.J. Gellings, Preparation of supported vanadium and molybdenum oxide catalysts using metal acetylacetonate complexes, Appl. Catal. 5 (1983) 207–217. https://doi.org/10.1016/0166-9834(83)80133-X.</w:t>
      </w:r>
    </w:p>
    <w:p w14:paraId="3CB9F6C5"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[56]</w:t>
      </w:r>
      <w:r w:rsidRPr="001519D1">
        <w:rPr>
          <w:rFonts w:ascii="Arial" w:hAnsi="Arial" w:cs="Arial"/>
          <w:noProof/>
          <w:szCs w:val="24"/>
        </w:rPr>
        <w:tab/>
        <w:t>G.C. Bond, S. Flamerz, L. Van Wijk, Structure and reactivity of titania-supported molybdenum and tungsten oxides, Catal. Today. 1 (1987) 229–243. https://doi.org/10.1016/S0167-2991(09)60030-6.</w:t>
      </w:r>
    </w:p>
    <w:p w14:paraId="453CA8A6"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[57]</w:t>
      </w:r>
      <w:r w:rsidRPr="001519D1">
        <w:rPr>
          <w:rFonts w:ascii="Arial" w:hAnsi="Arial" w:cs="Arial"/>
          <w:noProof/>
          <w:szCs w:val="24"/>
        </w:rPr>
        <w:tab/>
        <w:t>E. Hillerová, H. Morishige, K. Inamura, M. Zdražil, Formation of monolayer of molybdena over alumina by unconventional slurry impregnation or solvent assisted spreading method, Appl. Catal. A Gen. 156 (1997) 1–17. https://doi.org/10.1016/S0926-860X(96)00406-1.</w:t>
      </w:r>
    </w:p>
    <w:p w14:paraId="431ED447"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[58]</w:t>
      </w:r>
      <w:r w:rsidRPr="001519D1">
        <w:rPr>
          <w:rFonts w:ascii="Arial" w:hAnsi="Arial" w:cs="Arial"/>
          <w:noProof/>
          <w:szCs w:val="24"/>
        </w:rPr>
        <w:tab/>
        <w:t>K. Binnemans, Interpretation of europium(III) spectra, Coord. Chem. Rev. 295 (2015) 1–45. https://doi.org/10.1016/j.ccr.2015.02.015.</w:t>
      </w:r>
    </w:p>
    <w:p w14:paraId="10C277D2"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lastRenderedPageBreak/>
        <w:t>[59]</w:t>
      </w:r>
      <w:r w:rsidRPr="001519D1">
        <w:rPr>
          <w:rFonts w:ascii="Arial" w:hAnsi="Arial" w:cs="Arial"/>
          <w:noProof/>
          <w:szCs w:val="24"/>
        </w:rPr>
        <w:tab/>
        <w:t>C. Tiseanu, V.I. Parvulescu, B. Cojocaru, K. Pemartin, M. Sanchez-Dominguez, M. Boutonnet, In situ Raman and Time-Resolved Luminescence Investigation of the Local Structure of ZrO2 in the Amorphous to Crystalline Phase Transition, J. Phys. Chem. C. 116 (2012) 16776–16783. https://doi.org/10.1021/jp3040538.</w:t>
      </w:r>
    </w:p>
    <w:p w14:paraId="0F7B6678"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[60]</w:t>
      </w:r>
      <w:r w:rsidRPr="001519D1">
        <w:rPr>
          <w:rFonts w:ascii="Arial" w:hAnsi="Arial" w:cs="Arial"/>
          <w:noProof/>
          <w:szCs w:val="24"/>
        </w:rPr>
        <w:tab/>
        <w:t>M.J. Weber, E.J. Sharp, J.E. Miller, Optical spectra, relaxation, and energy transfer of Eu3+ and Cr3+ in a europium phosphate glass, J. Phys. Chem. Solids. 32 (1971) 2275–2284.</w:t>
      </w:r>
    </w:p>
    <w:p w14:paraId="0C16BF65"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[61]</w:t>
      </w:r>
      <w:r w:rsidRPr="001519D1">
        <w:rPr>
          <w:rFonts w:ascii="Arial" w:hAnsi="Arial" w:cs="Arial"/>
          <w:noProof/>
          <w:szCs w:val="24"/>
        </w:rPr>
        <w:tab/>
        <w:t>C. Tiseanu, B. Cojocaru, V.I. Parvulescu, M. Sanchez-Dominguez, P.A. Primus, M. Boutonnet, Order and disorder effects in nano-ZrO2 investigated by micro-Raman and spectrally and temporarily resolved photoluminescence, Phys. Chem. Chem. Phys. 14 (2012) 12970–12981. https://doi.org/10.1039/c2cp41946g.</w:t>
      </w:r>
    </w:p>
    <w:p w14:paraId="5FB94933"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[62]</w:t>
      </w:r>
      <w:r w:rsidRPr="001519D1">
        <w:rPr>
          <w:rFonts w:ascii="Arial" w:hAnsi="Arial" w:cs="Arial"/>
          <w:noProof/>
          <w:szCs w:val="24"/>
        </w:rPr>
        <w:tab/>
        <w:t>P. Ghosh, A. Patra, Role of Surface Coating in ZrO2/Eu3+ Nanocrystals, Langmuir. 22 (2006) 6321–6327. https://doi.org/10.1021/la0604883.</w:t>
      </w:r>
    </w:p>
    <w:p w14:paraId="623A1C9E"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[63]</w:t>
      </w:r>
      <w:r w:rsidRPr="001519D1">
        <w:rPr>
          <w:rFonts w:ascii="Arial" w:hAnsi="Arial" w:cs="Arial"/>
          <w:noProof/>
          <w:szCs w:val="24"/>
        </w:rPr>
        <w:tab/>
        <w:t>S. Karthika, M.S. Sajna, S. Thomas, K.P. Revathy, P.R. Biju, N.V. Unnikrishnan, Structural and optical studies of Eu3+/nanocrystallites doped titania–zirconia hybrids, J. Alloys Compd. 615 (2014) 188–193. https://doi.org/10.1016/j.jallcom.2014.06.155.</w:t>
      </w:r>
    </w:p>
    <w:p w14:paraId="6A68B33C"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[64]</w:t>
      </w:r>
      <w:r w:rsidRPr="001519D1">
        <w:rPr>
          <w:rFonts w:ascii="Arial" w:hAnsi="Arial" w:cs="Arial"/>
          <w:noProof/>
          <w:szCs w:val="24"/>
        </w:rPr>
        <w:tab/>
        <w:t>C.-P. Hwang, C.-T. Yeh, Platinum-Oxide Species Formed on Progressive Oxidation of Platinum Crystallites Supported on Silica and Silica-Alumina, J. Catal. 182 (1999) 48–55. https://doi.org/10.1016/1381-1169(96)00127-6.</w:t>
      </w:r>
    </w:p>
    <w:p w14:paraId="4DB0FCD5"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[65]</w:t>
      </w:r>
      <w:r w:rsidRPr="001519D1">
        <w:rPr>
          <w:rFonts w:ascii="Arial" w:hAnsi="Arial" w:cs="Arial"/>
          <w:noProof/>
          <w:szCs w:val="24"/>
        </w:rPr>
        <w:tab/>
        <w:t>T. Huizinga, J. Van Grondelle, R. Prins, A temperature programmed reduction study of Pt on Al2O3 and TiO2, Appl. Catal. 10 (1984) 199–213.</w:t>
      </w:r>
    </w:p>
    <w:p w14:paraId="19E050C5"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[66]</w:t>
      </w:r>
      <w:r w:rsidRPr="001519D1">
        <w:rPr>
          <w:rFonts w:ascii="Arial" w:hAnsi="Arial" w:cs="Arial"/>
          <w:noProof/>
          <w:szCs w:val="24"/>
        </w:rPr>
        <w:tab/>
        <w:t>H.C. Yao, M. Sieg, H.K.J. Plummer, Surface Interactions in the Pt/gamma-Al2O3 System, J. Catal. 59 (1979) 365–374. https://doi.org/10.1016/S0021-9517(79)80005-6.</w:t>
      </w:r>
    </w:p>
    <w:p w14:paraId="4D8763CB"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[67]</w:t>
      </w:r>
      <w:r w:rsidRPr="001519D1">
        <w:rPr>
          <w:rFonts w:ascii="Arial" w:hAnsi="Arial" w:cs="Arial"/>
          <w:noProof/>
          <w:szCs w:val="24"/>
        </w:rPr>
        <w:tab/>
        <w:t>E. Merlen, P. Beccat, J.C. Bertolini, P. Delichère, N. Zanier, B. Didillon, Characterization of Bimetallic Pt–Sn/Al2O3 Catalysts: Relationship between Particle Size and Structure, J. Catal. 159 (1996) 178–188. https://doi.org/10.1016/S0926-860X(99)00528-1.</w:t>
      </w:r>
    </w:p>
    <w:p w14:paraId="5E0C2E7F"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[68]</w:t>
      </w:r>
      <w:r w:rsidRPr="001519D1">
        <w:rPr>
          <w:rFonts w:ascii="Arial" w:hAnsi="Arial" w:cs="Arial"/>
          <w:noProof/>
          <w:szCs w:val="24"/>
        </w:rPr>
        <w:tab/>
        <w:t>M. El Doukkali, A. Iriondo, P.L. Arias, J. Requies, I. Gandarías, L. Jalowiecki-Duhamel, F. Dumeignil, A comparison of sol-gel and impregnated Pt or/and Ni based γ-alumina catalysts for bioglycerol aqueous phase reforming, Appl. Catal. B Environ. 125 (2012) 516–529. https://doi.org/10.1016/j.apcatb.2012.06.024.</w:t>
      </w:r>
    </w:p>
    <w:p w14:paraId="1460B07B"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[69]</w:t>
      </w:r>
      <w:r w:rsidRPr="001519D1">
        <w:rPr>
          <w:rFonts w:ascii="Arial" w:hAnsi="Arial" w:cs="Arial"/>
          <w:noProof/>
          <w:szCs w:val="24"/>
        </w:rPr>
        <w:tab/>
        <w:t>V.A. Mazzieri, J.M. Grau, J.C. Yori, C.R. Vera, C.L. Pieck, Influence of additives on the Pt metal activity of naphtha reforming catalysts, Appl. Catal. A Gen. 354 (2009) 161–168. https://doi.org/10.1016/j.apcata.2008.11.031.</w:t>
      </w:r>
    </w:p>
    <w:p w14:paraId="5C5F1934"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[70]</w:t>
      </w:r>
      <w:r w:rsidRPr="001519D1">
        <w:rPr>
          <w:rFonts w:ascii="Arial" w:hAnsi="Arial" w:cs="Arial"/>
          <w:noProof/>
          <w:szCs w:val="24"/>
        </w:rPr>
        <w:tab/>
        <w:t>P. Arnoldy, J.C.M. de Jonge, J.A. Moulijn, Temperature-Programmed Reduction of MoO3 and MoO2, J. Phys. Chem. 89 (1985) 4517–4526.</w:t>
      </w:r>
    </w:p>
    <w:p w14:paraId="4756B469"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[71]</w:t>
      </w:r>
      <w:r w:rsidRPr="001519D1">
        <w:rPr>
          <w:rFonts w:ascii="Arial" w:hAnsi="Arial" w:cs="Arial"/>
          <w:noProof/>
          <w:szCs w:val="24"/>
        </w:rPr>
        <w:tab/>
        <w:t>T. Ressler, J. Wienold, R.E. Jentoft, Formation of Bronzes during Temperature-</w:t>
      </w:r>
      <w:r w:rsidRPr="001519D1">
        <w:rPr>
          <w:rFonts w:ascii="Arial" w:hAnsi="Arial" w:cs="Arial"/>
          <w:noProof/>
          <w:szCs w:val="24"/>
        </w:rPr>
        <w:lastRenderedPageBreak/>
        <w:t>programmed Reduction of MoO3 with Hydrogen - An In situ XRD and XAFS Study, Solid State Ionics. 141-142 (2001) 243–252. https://doi.org/10.1016/S0167-2738(01)00747-0.</w:t>
      </w:r>
    </w:p>
    <w:p w14:paraId="6453F5C9"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[72]</w:t>
      </w:r>
      <w:r w:rsidRPr="001519D1">
        <w:rPr>
          <w:rFonts w:ascii="Arial" w:hAnsi="Arial" w:cs="Arial"/>
          <w:noProof/>
          <w:szCs w:val="24"/>
        </w:rPr>
        <w:tab/>
        <w:t>D.M. Frías, S. Nousir, I. Barrio, M. Montes, L.M. Martínez T., M.A. Centeno, J.A. Odriozola, Nucleation and growth of manganese oxides on metallic surfaces as a tool to prepare metallic monoliths, Appl. Catal. A Gen. 325 (2007) 205–212. https://doi.org/10.1016/j.apcata.2007.02.038.</w:t>
      </w:r>
    </w:p>
    <w:p w14:paraId="04091177"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[73]</w:t>
      </w:r>
      <w:r w:rsidRPr="001519D1">
        <w:rPr>
          <w:rFonts w:ascii="Arial" w:hAnsi="Arial" w:cs="Arial"/>
          <w:noProof/>
          <w:szCs w:val="24"/>
        </w:rPr>
        <w:tab/>
        <w:t>M.I. Domínguez, A. Pérez, M.A. Centeno, J.A. Odriozola, Metallic structured catalysts: Influence of the substrate on the catalytic activity, Appl. Catal. A Gen. 478 (2014) 45–57. https://doi.org/10.1016/j.apcata.2014.03.028.</w:t>
      </w:r>
    </w:p>
    <w:p w14:paraId="6AEFB5DB"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[74]</w:t>
      </w:r>
      <w:r w:rsidRPr="001519D1">
        <w:rPr>
          <w:rFonts w:ascii="Arial" w:hAnsi="Arial" w:cs="Arial"/>
          <w:noProof/>
          <w:szCs w:val="24"/>
        </w:rPr>
        <w:tab/>
        <w:t>M. González-Castaño, S. Ivanova, O.H. Laguna, L.M. Martínez T., M.A. Centeno, J.A. Odriozola, Structuring Pt/CeO2/Al2O3 WGS catalyst: Introduction of buffer layer, Appl. Catal. B Environ. 200 (2017) 420–427. https://doi.org/10.1016/j.apcatb.2016.07.039.</w:t>
      </w:r>
    </w:p>
    <w:p w14:paraId="0920722C"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szCs w:val="24"/>
        </w:rPr>
      </w:pPr>
      <w:r w:rsidRPr="001519D1">
        <w:rPr>
          <w:rFonts w:ascii="Arial" w:hAnsi="Arial" w:cs="Arial"/>
          <w:noProof/>
          <w:szCs w:val="24"/>
        </w:rPr>
        <w:t>[75]</w:t>
      </w:r>
      <w:r w:rsidRPr="001519D1">
        <w:rPr>
          <w:rFonts w:ascii="Arial" w:hAnsi="Arial" w:cs="Arial"/>
          <w:noProof/>
          <w:szCs w:val="24"/>
        </w:rPr>
        <w:tab/>
        <w:t>D.I. Potemkin, P.V. Snytnikov, V.D. Belyaev, V.A. Sobyanin, Preferential CO oxidation over Cu/CeO2-x catalyst: Internal mass transport limitation, Chem. Eng. J. 176-177 (2011) 165–171. https://doi.org/10.1016/j.cej.2011.08.081.</w:t>
      </w:r>
    </w:p>
    <w:p w14:paraId="3CC8ACC5" w14:textId="77777777" w:rsidR="00194472" w:rsidRPr="001519D1" w:rsidRDefault="00194472" w:rsidP="00194472">
      <w:pPr>
        <w:widowControl w:val="0"/>
        <w:autoSpaceDE w:val="0"/>
        <w:autoSpaceDN w:val="0"/>
        <w:adjustRightInd w:val="0"/>
        <w:spacing w:after="0" w:line="360" w:lineRule="auto"/>
        <w:ind w:left="640" w:hanging="640"/>
        <w:rPr>
          <w:rFonts w:ascii="Arial" w:hAnsi="Arial" w:cs="Arial"/>
          <w:noProof/>
        </w:rPr>
      </w:pPr>
      <w:r w:rsidRPr="001519D1">
        <w:rPr>
          <w:rFonts w:ascii="Arial" w:hAnsi="Arial" w:cs="Arial"/>
          <w:noProof/>
          <w:szCs w:val="24"/>
        </w:rPr>
        <w:t>[76]</w:t>
      </w:r>
      <w:r w:rsidRPr="001519D1">
        <w:rPr>
          <w:rFonts w:ascii="Arial" w:hAnsi="Arial" w:cs="Arial"/>
          <w:noProof/>
          <w:szCs w:val="24"/>
        </w:rPr>
        <w:tab/>
        <w:t>O.H. Laguna, M. González Castaño, M.A. Centeno, J.A. Odriozola, Microreactors technology for hydrogen purification: Effect of the catalytic layer thickness on CuOx/CeO2-coated microchannel reactors for the PROX reaction, Chem. Eng. J. 275 (2015) 45–52. https://doi.org/10.1016/j.cej.2015.04.023.</w:t>
      </w:r>
    </w:p>
    <w:p w14:paraId="70F1536F" w14:textId="002C9608" w:rsidR="00256196" w:rsidRPr="009821CA" w:rsidRDefault="00256196" w:rsidP="00194472">
      <w:pPr>
        <w:widowControl w:val="0"/>
        <w:autoSpaceDE w:val="0"/>
        <w:autoSpaceDN w:val="0"/>
        <w:adjustRightInd w:val="0"/>
        <w:spacing w:after="0" w:line="360" w:lineRule="auto"/>
        <w:ind w:left="640" w:hanging="640"/>
        <w:rPr>
          <w:rFonts w:ascii="Arial" w:hAnsi="Arial" w:cs="Arial"/>
          <w:lang w:val="en-US"/>
        </w:rPr>
      </w:pPr>
      <w:r w:rsidRPr="001519D1">
        <w:rPr>
          <w:rFonts w:ascii="Arial" w:hAnsi="Arial" w:cs="Arial"/>
          <w:lang w:val="en-US"/>
        </w:rPr>
        <w:fldChar w:fldCharType="end"/>
      </w:r>
    </w:p>
    <w:sectPr w:rsidR="00256196" w:rsidRPr="009821CA" w:rsidSect="00D22A80">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C1038" w14:textId="77777777" w:rsidR="00DC3A9F" w:rsidRDefault="00DC3A9F" w:rsidP="0096358C">
      <w:pPr>
        <w:spacing w:after="0" w:line="240" w:lineRule="auto"/>
      </w:pPr>
      <w:r>
        <w:separator/>
      </w:r>
    </w:p>
  </w:endnote>
  <w:endnote w:type="continuationSeparator" w:id="0">
    <w:p w14:paraId="74CAE952" w14:textId="77777777" w:rsidR="00DC3A9F" w:rsidRDefault="00DC3A9F" w:rsidP="00963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467195"/>
      <w:docPartObj>
        <w:docPartGallery w:val="Page Numbers (Bottom of Page)"/>
        <w:docPartUnique/>
      </w:docPartObj>
    </w:sdtPr>
    <w:sdtEndPr/>
    <w:sdtContent>
      <w:p w14:paraId="28A6D288" w14:textId="576DABEE" w:rsidR="00986067" w:rsidRDefault="00986067">
        <w:pPr>
          <w:pStyle w:val="Piedepgina"/>
          <w:jc w:val="right"/>
        </w:pPr>
        <w:r>
          <w:fldChar w:fldCharType="begin"/>
        </w:r>
        <w:r>
          <w:instrText>PAGE   \* MERGEFORMAT</w:instrText>
        </w:r>
        <w:r>
          <w:fldChar w:fldCharType="separate"/>
        </w:r>
        <w:r w:rsidR="0003486E" w:rsidRPr="0003486E">
          <w:rPr>
            <w:noProof/>
            <w:lang w:val="es-ES"/>
          </w:rPr>
          <w:t>2</w:t>
        </w:r>
        <w:r>
          <w:fldChar w:fldCharType="end"/>
        </w:r>
      </w:p>
    </w:sdtContent>
  </w:sdt>
  <w:p w14:paraId="5FA033B4" w14:textId="77777777" w:rsidR="00986067" w:rsidRDefault="0098606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A88EA" w14:textId="77777777" w:rsidR="00DC3A9F" w:rsidRDefault="00DC3A9F" w:rsidP="0096358C">
      <w:pPr>
        <w:spacing w:after="0" w:line="240" w:lineRule="auto"/>
      </w:pPr>
      <w:r>
        <w:separator/>
      </w:r>
    </w:p>
  </w:footnote>
  <w:footnote w:type="continuationSeparator" w:id="0">
    <w:p w14:paraId="0BADAA48" w14:textId="77777777" w:rsidR="00DC3A9F" w:rsidRDefault="00DC3A9F" w:rsidP="009635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883519"/>
    <w:multiLevelType w:val="hybridMultilevel"/>
    <w:tmpl w:val="D25234F6"/>
    <w:lvl w:ilvl="0" w:tplc="A81A9814">
      <w:start w:val="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B62"/>
    <w:rsid w:val="00012D36"/>
    <w:rsid w:val="0003486E"/>
    <w:rsid w:val="000658F8"/>
    <w:rsid w:val="000B1F92"/>
    <w:rsid w:val="001519D1"/>
    <w:rsid w:val="00160F64"/>
    <w:rsid w:val="001629D6"/>
    <w:rsid w:val="00194472"/>
    <w:rsid w:val="001D45E2"/>
    <w:rsid w:val="002028B5"/>
    <w:rsid w:val="002100FB"/>
    <w:rsid w:val="00227EE9"/>
    <w:rsid w:val="00256196"/>
    <w:rsid w:val="00256A96"/>
    <w:rsid w:val="002945CE"/>
    <w:rsid w:val="002C1AB7"/>
    <w:rsid w:val="002C279B"/>
    <w:rsid w:val="0031229F"/>
    <w:rsid w:val="003243C9"/>
    <w:rsid w:val="00331326"/>
    <w:rsid w:val="00345182"/>
    <w:rsid w:val="003D7A66"/>
    <w:rsid w:val="00401F4F"/>
    <w:rsid w:val="00491551"/>
    <w:rsid w:val="004D433B"/>
    <w:rsid w:val="004E74FF"/>
    <w:rsid w:val="004F0A78"/>
    <w:rsid w:val="00513FE8"/>
    <w:rsid w:val="00555B8C"/>
    <w:rsid w:val="00583CC3"/>
    <w:rsid w:val="005D5384"/>
    <w:rsid w:val="0064187F"/>
    <w:rsid w:val="00664EC3"/>
    <w:rsid w:val="00673865"/>
    <w:rsid w:val="00690EB1"/>
    <w:rsid w:val="006C5E92"/>
    <w:rsid w:val="006C792B"/>
    <w:rsid w:val="006D48A6"/>
    <w:rsid w:val="006E2317"/>
    <w:rsid w:val="00733992"/>
    <w:rsid w:val="007441A1"/>
    <w:rsid w:val="00757FCA"/>
    <w:rsid w:val="00785190"/>
    <w:rsid w:val="007C13C1"/>
    <w:rsid w:val="007C7A25"/>
    <w:rsid w:val="007D4BE3"/>
    <w:rsid w:val="007F227E"/>
    <w:rsid w:val="007F314D"/>
    <w:rsid w:val="00825FE5"/>
    <w:rsid w:val="00846AD3"/>
    <w:rsid w:val="0088206A"/>
    <w:rsid w:val="008D6953"/>
    <w:rsid w:val="0096358C"/>
    <w:rsid w:val="0098123F"/>
    <w:rsid w:val="009821CA"/>
    <w:rsid w:val="00986067"/>
    <w:rsid w:val="009D3AE3"/>
    <w:rsid w:val="009F3445"/>
    <w:rsid w:val="00A214BD"/>
    <w:rsid w:val="00A33A1E"/>
    <w:rsid w:val="00A50281"/>
    <w:rsid w:val="00A506F9"/>
    <w:rsid w:val="00A55EFF"/>
    <w:rsid w:val="00A75971"/>
    <w:rsid w:val="00AB59A7"/>
    <w:rsid w:val="00B04824"/>
    <w:rsid w:val="00B26B7E"/>
    <w:rsid w:val="00B32CFD"/>
    <w:rsid w:val="00B42418"/>
    <w:rsid w:val="00B92893"/>
    <w:rsid w:val="00C1272A"/>
    <w:rsid w:val="00C25B62"/>
    <w:rsid w:val="00C26A27"/>
    <w:rsid w:val="00C34BDE"/>
    <w:rsid w:val="00C52B2F"/>
    <w:rsid w:val="00C57DF3"/>
    <w:rsid w:val="00C616DA"/>
    <w:rsid w:val="00C76F86"/>
    <w:rsid w:val="00C8420B"/>
    <w:rsid w:val="00CD34BD"/>
    <w:rsid w:val="00CD537E"/>
    <w:rsid w:val="00D0270F"/>
    <w:rsid w:val="00D22A80"/>
    <w:rsid w:val="00D40211"/>
    <w:rsid w:val="00D42159"/>
    <w:rsid w:val="00D53BDE"/>
    <w:rsid w:val="00D719DC"/>
    <w:rsid w:val="00D725A7"/>
    <w:rsid w:val="00D76248"/>
    <w:rsid w:val="00DC3A9F"/>
    <w:rsid w:val="00DC4B22"/>
    <w:rsid w:val="00DD104F"/>
    <w:rsid w:val="00DF475B"/>
    <w:rsid w:val="00E6312D"/>
    <w:rsid w:val="00EC6D16"/>
    <w:rsid w:val="00EE349E"/>
    <w:rsid w:val="00F057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A3291"/>
  <w15:docId w15:val="{9BEEEFE0-5559-4DED-B40D-4EFA4DCB1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9289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F227E"/>
    <w:rPr>
      <w:color w:val="0563C1" w:themeColor="hyperlink"/>
      <w:u w:val="single"/>
    </w:rPr>
  </w:style>
  <w:style w:type="character" w:customStyle="1" w:styleId="UnresolvedMention">
    <w:name w:val="Unresolved Mention"/>
    <w:basedOn w:val="Fuentedeprrafopredeter"/>
    <w:uiPriority w:val="99"/>
    <w:semiHidden/>
    <w:unhideWhenUsed/>
    <w:rsid w:val="007F227E"/>
    <w:rPr>
      <w:color w:val="605E5C"/>
      <w:shd w:val="clear" w:color="auto" w:fill="E1DFDD"/>
    </w:rPr>
  </w:style>
  <w:style w:type="paragraph" w:styleId="Prrafodelista">
    <w:name w:val="List Paragraph"/>
    <w:basedOn w:val="Normal"/>
    <w:uiPriority w:val="34"/>
    <w:qFormat/>
    <w:rsid w:val="007F227E"/>
    <w:pPr>
      <w:ind w:left="720"/>
      <w:contextualSpacing/>
    </w:pPr>
  </w:style>
  <w:style w:type="paragraph" w:styleId="Descripcin">
    <w:name w:val="caption"/>
    <w:basedOn w:val="Normal"/>
    <w:next w:val="Normal"/>
    <w:uiPriority w:val="35"/>
    <w:unhideWhenUsed/>
    <w:qFormat/>
    <w:rsid w:val="000658F8"/>
    <w:pPr>
      <w:spacing w:after="200" w:line="240" w:lineRule="auto"/>
    </w:pPr>
    <w:rPr>
      <w:i/>
      <w:iCs/>
      <w:color w:val="44546A" w:themeColor="text2"/>
      <w:sz w:val="18"/>
      <w:szCs w:val="18"/>
    </w:rPr>
  </w:style>
  <w:style w:type="paragraph" w:customStyle="1" w:styleId="RSCB02ArticleText">
    <w:name w:val="RSC B02 Article Text"/>
    <w:basedOn w:val="Normal"/>
    <w:link w:val="RSCB02ArticleTextChar"/>
    <w:qFormat/>
    <w:rsid w:val="002945CE"/>
    <w:pPr>
      <w:spacing w:after="0" w:line="240" w:lineRule="exact"/>
      <w:jc w:val="both"/>
    </w:pPr>
    <w:rPr>
      <w:rFonts w:cs="Times New Roman"/>
      <w:w w:val="108"/>
      <w:sz w:val="18"/>
      <w:szCs w:val="18"/>
      <w:lang w:val="en-GB"/>
    </w:rPr>
  </w:style>
  <w:style w:type="character" w:customStyle="1" w:styleId="RSCB02ArticleTextChar">
    <w:name w:val="RSC B02 Article Text Char"/>
    <w:basedOn w:val="Fuentedeprrafopredeter"/>
    <w:link w:val="RSCB02ArticleText"/>
    <w:rsid w:val="002945CE"/>
    <w:rPr>
      <w:rFonts w:cs="Times New Roman"/>
      <w:w w:val="108"/>
      <w:sz w:val="18"/>
      <w:szCs w:val="18"/>
      <w:lang w:val="en-GB"/>
    </w:rPr>
  </w:style>
  <w:style w:type="paragraph" w:styleId="Textodeglobo">
    <w:name w:val="Balloon Text"/>
    <w:basedOn w:val="Normal"/>
    <w:link w:val="TextodegloboCar"/>
    <w:uiPriority w:val="99"/>
    <w:semiHidden/>
    <w:unhideWhenUsed/>
    <w:rsid w:val="00B42418"/>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42418"/>
    <w:rPr>
      <w:rFonts w:ascii="Times New Roman" w:hAnsi="Times New Roman" w:cs="Times New Roman"/>
      <w:sz w:val="18"/>
      <w:szCs w:val="18"/>
    </w:rPr>
  </w:style>
  <w:style w:type="paragraph" w:styleId="Encabezado">
    <w:name w:val="header"/>
    <w:basedOn w:val="Normal"/>
    <w:link w:val="EncabezadoCar"/>
    <w:uiPriority w:val="99"/>
    <w:unhideWhenUsed/>
    <w:rsid w:val="0096358C"/>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96358C"/>
  </w:style>
  <w:style w:type="paragraph" w:styleId="Piedepgina">
    <w:name w:val="footer"/>
    <w:basedOn w:val="Normal"/>
    <w:link w:val="PiedepginaCar"/>
    <w:uiPriority w:val="99"/>
    <w:unhideWhenUsed/>
    <w:rsid w:val="0096358C"/>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963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rcia-moncada@ensicaen.fr"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6AC54-BBD3-406A-B3AC-F7E03E9DE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52850</Words>
  <Characters>290675</Characters>
  <Application>Microsoft Office Word</Application>
  <DocSecurity>0</DocSecurity>
  <Lines>2422</Lines>
  <Paragraphs>685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Moncada, N. (TNW)</dc:creator>
  <cp:lastModifiedBy>Mª Angeles Martín Sanz</cp:lastModifiedBy>
  <cp:revision>2</cp:revision>
  <dcterms:created xsi:type="dcterms:W3CDTF">2020-11-20T08:32:00Z</dcterms:created>
  <dcterms:modified xsi:type="dcterms:W3CDTF">2020-11-20T08:32:00Z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nuriagarcia.mon@gmail.com@www.mendeley.com</vt:lpwstr>
  </property>
  <property fmtid="{D5CDD505-2E9C-101B-9397-08002B2CF9AE}" pid="4" name="Mendeley Citation Style_1">
    <vt:lpwstr>http://www.zotero.org/styles/catalysis-today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http://www.zotero.org/styles/catalysis-today</vt:lpwstr>
  </property>
  <property fmtid="{D5CDD505-2E9C-101B-9397-08002B2CF9AE}" pid="10" name="Mendeley Recent Style Name 2_1">
    <vt:lpwstr>Catalysis Today</vt:lpwstr>
  </property>
  <property fmtid="{D5CDD505-2E9C-101B-9397-08002B2CF9AE}" pid="11" name="Mendeley Recent Style Id 3_1">
    <vt:lpwstr>http://www.zotero.org/styles/catalysts</vt:lpwstr>
  </property>
  <property fmtid="{D5CDD505-2E9C-101B-9397-08002B2CF9AE}" pid="12" name="Mendeley Recent Style Name 3_1">
    <vt:lpwstr>Catalysts</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http://www.zotero.org/styles/journal-of-catalysis</vt:lpwstr>
  </property>
  <property fmtid="{D5CDD505-2E9C-101B-9397-08002B2CF9AE}" pid="18" name="Mendeley Recent Style Name 6_1">
    <vt:lpwstr>Journal of Catalysis</vt:lpwstr>
  </property>
  <property fmtid="{D5CDD505-2E9C-101B-9397-08002B2CF9AE}" pid="19" name="Mendeley Recent Style Id 7_1">
    <vt:lpwstr>http://www.zotero.org/styles/journal-of-energy-chemistry</vt:lpwstr>
  </property>
  <property fmtid="{D5CDD505-2E9C-101B-9397-08002B2CF9AE}" pid="20" name="Mendeley Recent Style Name 7_1">
    <vt:lpwstr>Journal of Energy Chemistry</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