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317F" w:rsidRPr="00657AB0" w:rsidRDefault="0084317F" w:rsidP="0084317F">
      <w:pPr>
        <w:jc w:val="center"/>
        <w:rPr>
          <w:b/>
          <w:lang w:val="en-US"/>
        </w:rPr>
      </w:pPr>
      <w:bookmarkStart w:id="0" w:name="_GoBack"/>
      <w:r w:rsidRPr="00657AB0">
        <w:rPr>
          <w:b/>
          <w:lang w:val="en-US"/>
        </w:rPr>
        <w:t>Supporting information</w:t>
      </w:r>
    </w:p>
    <w:bookmarkEnd w:id="0"/>
    <w:p w:rsidR="00594324" w:rsidRPr="006E25D9" w:rsidRDefault="00223080" w:rsidP="00223080">
      <w:pPr>
        <w:jc w:val="both"/>
        <w:rPr>
          <w:bCs/>
          <w:color w:val="000000" w:themeColor="text1"/>
          <w:lang w:val="en-US"/>
        </w:rPr>
      </w:pPr>
      <w:r w:rsidRPr="006E25D9">
        <w:rPr>
          <w:bCs/>
          <w:color w:val="000000" w:themeColor="text1"/>
          <w:lang w:val="en-US"/>
        </w:rPr>
        <w:t xml:space="preserve">In Fig. S1 we plot, for the </w:t>
      </w:r>
      <w:proofErr w:type="spellStart"/>
      <w:r w:rsidRPr="006E25D9">
        <w:rPr>
          <w:bCs/>
          <w:color w:val="000000" w:themeColor="text1"/>
          <w:lang w:val="en-US"/>
        </w:rPr>
        <w:t>SI-</w:t>
      </w:r>
      <w:proofErr w:type="gramStart"/>
      <w:r w:rsidRPr="006E25D9">
        <w:rPr>
          <w:bCs/>
          <w:color w:val="000000" w:themeColor="text1"/>
          <w:lang w:val="en-US"/>
        </w:rPr>
        <w:t>GaP:Ti</w:t>
      </w:r>
      <w:proofErr w:type="spellEnd"/>
      <w:proofErr w:type="gramEnd"/>
      <w:r w:rsidRPr="006E25D9">
        <w:rPr>
          <w:bCs/>
          <w:color w:val="000000" w:themeColor="text1"/>
          <w:lang w:val="en-US"/>
        </w:rPr>
        <w:t xml:space="preserve"> sample implanted with 8×10</w:t>
      </w:r>
      <w:r w:rsidRPr="006E25D9">
        <w:rPr>
          <w:bCs/>
          <w:color w:val="000000" w:themeColor="text1"/>
          <w:vertAlign w:val="superscript"/>
          <w:lang w:val="en-US"/>
        </w:rPr>
        <w:t>14</w:t>
      </w:r>
      <w:r w:rsidRPr="006E25D9">
        <w:rPr>
          <w:bCs/>
          <w:color w:val="000000" w:themeColor="text1"/>
          <w:lang w:val="en-US"/>
        </w:rPr>
        <w:t xml:space="preserve"> cm</w:t>
      </w:r>
      <w:r w:rsidRPr="006E25D9">
        <w:rPr>
          <w:bCs/>
          <w:color w:val="000000" w:themeColor="text1"/>
          <w:vertAlign w:val="superscript"/>
          <w:lang w:val="en-US"/>
        </w:rPr>
        <w:t>-2</w:t>
      </w:r>
      <w:r w:rsidRPr="006E25D9">
        <w:rPr>
          <w:bCs/>
          <w:color w:val="000000" w:themeColor="text1"/>
          <w:lang w:val="en-US"/>
        </w:rPr>
        <w:t>, the different fits to four classical formulae related to absorption transitions relating bands</w:t>
      </w:r>
      <w:r w:rsidR="00E72EA7" w:rsidRPr="006E25D9">
        <w:rPr>
          <w:bCs/>
          <w:color w:val="000000" w:themeColor="text1"/>
          <w:lang w:val="en-US"/>
        </w:rPr>
        <w:t xml:space="preserve"> </w:t>
      </w:r>
      <w:r w:rsidR="00E72EA7" w:rsidRPr="006E25D9">
        <w:rPr>
          <w:rFonts w:eastAsiaTheme="minorEastAsia" w:cs="Arial"/>
          <w:bCs/>
          <w:color w:val="000000" w:themeColor="text1"/>
          <w:shd w:val="clear" w:color="auto" w:fill="FFFFFF"/>
          <w:lang w:val="en-US"/>
        </w:rPr>
        <w:t>(</w:t>
      </w:r>
      <w:r w:rsidR="00280D34" w:rsidRPr="006E25D9">
        <w:rPr>
          <w:rFonts w:eastAsiaTheme="minorEastAsia" w:cs="Arial"/>
          <w:bCs/>
          <w:i/>
          <w:color w:val="000000" w:themeColor="text1"/>
          <w:shd w:val="clear" w:color="auto" w:fill="FFFFFF"/>
          <w:lang w:val="en-US"/>
        </w:rPr>
        <w:t>R. H. Bube, Photoconductivity of solids, pp. 212 – 215, 1960</w:t>
      </w:r>
      <w:r w:rsidR="00280D34" w:rsidRPr="006E25D9">
        <w:rPr>
          <w:rFonts w:eastAsiaTheme="minorEastAsia" w:cs="Arial"/>
          <w:bCs/>
          <w:color w:val="000000" w:themeColor="text1"/>
          <w:shd w:val="clear" w:color="auto" w:fill="FFFFFF"/>
          <w:lang w:val="en-US"/>
        </w:rPr>
        <w:t xml:space="preserve">; and </w:t>
      </w:r>
      <w:r w:rsidR="00280D34" w:rsidRPr="006E25D9">
        <w:rPr>
          <w:rFonts w:eastAsiaTheme="minorEastAsia" w:cs="Arial"/>
          <w:bCs/>
          <w:i/>
          <w:color w:val="000000" w:themeColor="text1"/>
          <w:shd w:val="clear" w:color="auto" w:fill="FFFFFF"/>
          <w:lang w:val="en-US"/>
        </w:rPr>
        <w:t xml:space="preserve">G. </w:t>
      </w:r>
      <w:proofErr w:type="spellStart"/>
      <w:r w:rsidR="00280D34" w:rsidRPr="006E25D9">
        <w:rPr>
          <w:rFonts w:eastAsiaTheme="minorEastAsia" w:cs="Arial"/>
          <w:bCs/>
          <w:i/>
          <w:color w:val="000000" w:themeColor="text1"/>
          <w:shd w:val="clear" w:color="auto" w:fill="FFFFFF"/>
          <w:lang w:val="en-US"/>
        </w:rPr>
        <w:t>Lucovsky</w:t>
      </w:r>
      <w:proofErr w:type="spellEnd"/>
      <w:r w:rsidR="00280D34" w:rsidRPr="006E25D9">
        <w:rPr>
          <w:rFonts w:eastAsiaTheme="minorEastAsia" w:cs="Arial"/>
          <w:bCs/>
          <w:i/>
          <w:color w:val="000000" w:themeColor="text1"/>
          <w:shd w:val="clear" w:color="auto" w:fill="FFFFFF"/>
          <w:lang w:val="en-US"/>
        </w:rPr>
        <w:t>, Optical absorption associated with deep impurity centers in semiconductors,</w:t>
      </w:r>
      <w:r w:rsidR="00280D34" w:rsidRPr="006E25D9">
        <w:rPr>
          <w:bCs/>
          <w:i/>
          <w:color w:val="000000" w:themeColor="text1"/>
          <w:lang w:val="en-US"/>
        </w:rPr>
        <w:t xml:space="preserve"> </w:t>
      </w:r>
      <w:r w:rsidR="00280D34" w:rsidRPr="006E25D9">
        <w:rPr>
          <w:rFonts w:eastAsiaTheme="minorEastAsia" w:cs="Arial"/>
          <w:bCs/>
          <w:i/>
          <w:color w:val="000000" w:themeColor="text1"/>
          <w:shd w:val="clear" w:color="auto" w:fill="FFFFFF"/>
          <w:lang w:val="en-US"/>
        </w:rPr>
        <w:t>Bull. Am. Phys. Soc., 11, 206, 1966</w:t>
      </w:r>
      <w:r w:rsidR="00E72EA7" w:rsidRPr="006E25D9">
        <w:rPr>
          <w:rFonts w:eastAsiaTheme="minorEastAsia" w:cs="Arial"/>
          <w:bCs/>
          <w:color w:val="000000" w:themeColor="text1"/>
          <w:shd w:val="clear" w:color="auto" w:fill="FFFFFF"/>
          <w:lang w:val="en-US"/>
        </w:rPr>
        <w:t>)</w:t>
      </w:r>
      <w:r w:rsidR="00AA5D14" w:rsidRPr="006E25D9">
        <w:rPr>
          <w:bCs/>
          <w:color w:val="000000" w:themeColor="text1"/>
          <w:lang w:val="en-US"/>
        </w:rPr>
        <w:t>:</w:t>
      </w:r>
    </w:p>
    <w:p w:rsidR="00223080" w:rsidRPr="006E25D9" w:rsidRDefault="006E25D9" w:rsidP="00223080">
      <w:pPr>
        <w:pStyle w:val="Prrafodelista"/>
        <w:numPr>
          <w:ilvl w:val="0"/>
          <w:numId w:val="1"/>
        </w:numPr>
        <w:jc w:val="both"/>
        <w:rPr>
          <w:rFonts w:cs="Arial"/>
          <w:bCs/>
          <w:color w:val="000000" w:themeColor="text1"/>
          <w:shd w:val="clear" w:color="auto" w:fill="FFFFFF"/>
          <w:lang w:val="en-US"/>
        </w:rPr>
      </w:pPr>
      <m:oMath>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r>
          <w:rPr>
            <w:rFonts w:ascii="Cambria Math" w:hAnsi="Cambria Math" w:cs="Arial"/>
            <w:color w:val="000000" w:themeColor="text1"/>
            <w:shd w:val="clear" w:color="auto" w:fill="FFFFFF"/>
            <w:lang w:val="en-US"/>
          </w:rPr>
          <m:t>∝</m:t>
        </m:r>
        <m:f>
          <m:fPr>
            <m:type m:val="lin"/>
            <m:ctrlPr>
              <w:rPr>
                <w:rFonts w:ascii="Cambria Math" w:hAnsi="Cambria Math" w:cs="Arial"/>
                <w:bCs/>
                <w:i/>
                <w:color w:val="000000" w:themeColor="text1"/>
                <w:shd w:val="clear" w:color="auto" w:fill="FFFFFF"/>
                <w:lang w:val="en-US"/>
              </w:rPr>
            </m:ctrlPr>
          </m:fPr>
          <m:num>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e>
                </m:d>
              </m:e>
              <m:sup>
                <m:r>
                  <w:rPr>
                    <w:rFonts w:ascii="Cambria Math" w:hAnsi="Cambria Math" w:cs="Arial"/>
                    <w:color w:val="000000" w:themeColor="text1"/>
                    <w:shd w:val="clear" w:color="auto" w:fill="FFFFFF"/>
                    <w:lang w:val="en-US"/>
                  </w:rPr>
                  <m:t>2</m:t>
                </m:r>
              </m:sup>
            </m:sSup>
          </m:num>
          <m:den>
            <m:r>
              <w:rPr>
                <w:rFonts w:ascii="Cambria Math" w:hAnsi="Cambria Math" w:cs="Arial"/>
                <w:color w:val="000000" w:themeColor="text1"/>
                <w:shd w:val="clear" w:color="auto" w:fill="FFFFFF"/>
                <w:lang w:val="en-US"/>
              </w:rPr>
              <m:t>hυ</m:t>
            </m:r>
          </m:den>
        </m:f>
      </m:oMath>
      <w:r w:rsidR="00223080" w:rsidRPr="006E25D9">
        <w:rPr>
          <w:rFonts w:eastAsiaTheme="minorEastAsia" w:cs="Arial"/>
          <w:bCs/>
          <w:color w:val="000000" w:themeColor="text1"/>
          <w:shd w:val="clear" w:color="auto" w:fill="FFFFFF"/>
          <w:lang w:val="en-US"/>
        </w:rPr>
        <w:t xml:space="preserve"> fo</w:t>
      </w:r>
      <w:r w:rsidR="00E72EA7" w:rsidRPr="006E25D9">
        <w:rPr>
          <w:rFonts w:eastAsiaTheme="minorEastAsia" w:cs="Arial"/>
          <w:bCs/>
          <w:color w:val="000000" w:themeColor="text1"/>
          <w:shd w:val="clear" w:color="auto" w:fill="FFFFFF"/>
          <w:lang w:val="en-US"/>
        </w:rPr>
        <w:t>r indirect bandgap transitions.</w:t>
      </w:r>
    </w:p>
    <w:p w:rsidR="00223080" w:rsidRPr="006E25D9" w:rsidRDefault="006E25D9" w:rsidP="00223080">
      <w:pPr>
        <w:pStyle w:val="Prrafodelista"/>
        <w:numPr>
          <w:ilvl w:val="0"/>
          <w:numId w:val="1"/>
        </w:numPr>
        <w:jc w:val="both"/>
        <w:rPr>
          <w:rFonts w:cs="Arial"/>
          <w:bCs/>
          <w:color w:val="000000" w:themeColor="text1"/>
          <w:shd w:val="clear" w:color="auto" w:fill="FFFFFF"/>
          <w:lang w:val="en-US"/>
        </w:rPr>
      </w:pPr>
      <m:oMath>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r>
          <w:rPr>
            <w:rFonts w:ascii="Cambria Math" w:hAnsi="Cambria Math" w:cs="Arial"/>
            <w:color w:val="000000" w:themeColor="text1"/>
            <w:shd w:val="clear" w:color="auto" w:fill="FFFFFF"/>
            <w:lang w:val="en-US"/>
          </w:rPr>
          <m:t>∝</m:t>
        </m:r>
        <m:f>
          <m:fPr>
            <m:type m:val="lin"/>
            <m:ctrlPr>
              <w:rPr>
                <w:rFonts w:ascii="Cambria Math" w:hAnsi="Cambria Math" w:cs="Arial"/>
                <w:bCs/>
                <w:i/>
                <w:color w:val="000000" w:themeColor="text1"/>
                <w:shd w:val="clear" w:color="auto" w:fill="FFFFFF"/>
                <w:lang w:val="en-US"/>
              </w:rPr>
            </m:ctrlPr>
          </m:fPr>
          <m:num>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e>
                </m:d>
              </m:e>
              <m:sup>
                <m:f>
                  <m:fPr>
                    <m:type m:val="lin"/>
                    <m:ctrlPr>
                      <w:rPr>
                        <w:rFonts w:ascii="Cambria Math" w:hAnsi="Cambria Math" w:cs="Arial"/>
                        <w:bCs/>
                        <w:i/>
                        <w:color w:val="000000" w:themeColor="text1"/>
                        <w:shd w:val="clear" w:color="auto" w:fill="FFFFFF"/>
                        <w:lang w:val="en-US"/>
                      </w:rPr>
                    </m:ctrlPr>
                  </m:fPr>
                  <m:num>
                    <m:r>
                      <w:rPr>
                        <w:rFonts w:ascii="Cambria Math" w:hAnsi="Cambria Math" w:cs="Arial"/>
                        <w:color w:val="000000" w:themeColor="text1"/>
                        <w:shd w:val="clear" w:color="auto" w:fill="FFFFFF"/>
                        <w:lang w:val="en-US"/>
                      </w:rPr>
                      <m:t>1</m:t>
                    </m:r>
                  </m:num>
                  <m:den>
                    <m:r>
                      <w:rPr>
                        <w:rFonts w:ascii="Cambria Math" w:hAnsi="Cambria Math" w:cs="Arial"/>
                        <w:color w:val="000000" w:themeColor="text1"/>
                        <w:shd w:val="clear" w:color="auto" w:fill="FFFFFF"/>
                        <w:lang w:val="en-US"/>
                      </w:rPr>
                      <m:t>2</m:t>
                    </m:r>
                  </m:den>
                </m:f>
              </m:sup>
            </m:sSup>
          </m:num>
          <m:den>
            <m:r>
              <w:rPr>
                <w:rFonts w:ascii="Cambria Math" w:hAnsi="Cambria Math" w:cs="Arial"/>
                <w:color w:val="000000" w:themeColor="text1"/>
                <w:shd w:val="clear" w:color="auto" w:fill="FFFFFF"/>
                <w:lang w:val="en-US"/>
              </w:rPr>
              <m:t>hυ</m:t>
            </m:r>
          </m:den>
        </m:f>
      </m:oMath>
      <w:r w:rsidR="00223080" w:rsidRPr="006E25D9">
        <w:rPr>
          <w:rFonts w:eastAsiaTheme="minorEastAsia" w:cs="Arial"/>
          <w:bCs/>
          <w:color w:val="000000" w:themeColor="text1"/>
          <w:shd w:val="clear" w:color="auto" w:fill="FFFFFF"/>
          <w:lang w:val="en-US"/>
        </w:rPr>
        <w:t xml:space="preserve"> for direct bandgap transitions.</w:t>
      </w:r>
    </w:p>
    <w:p w:rsidR="00223080" w:rsidRPr="006E25D9" w:rsidRDefault="006E25D9" w:rsidP="00223080">
      <w:pPr>
        <w:pStyle w:val="Prrafodelista"/>
        <w:numPr>
          <w:ilvl w:val="0"/>
          <w:numId w:val="1"/>
        </w:numPr>
        <w:jc w:val="both"/>
        <w:rPr>
          <w:rFonts w:cs="Arial"/>
          <w:bCs/>
          <w:color w:val="000000" w:themeColor="text1"/>
          <w:shd w:val="clear" w:color="auto" w:fill="FFFFFF"/>
          <w:lang w:val="en-US"/>
        </w:rPr>
      </w:pPr>
      <m:oMath>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r>
          <w:rPr>
            <w:rFonts w:ascii="Cambria Math" w:hAnsi="Cambria Math" w:cs="Arial"/>
            <w:color w:val="000000" w:themeColor="text1"/>
            <w:shd w:val="clear" w:color="auto" w:fill="FFFFFF"/>
            <w:lang w:val="en-US"/>
          </w:rPr>
          <m:t>∝</m:t>
        </m:r>
        <m:f>
          <m:fPr>
            <m:type m:val="lin"/>
            <m:ctrlPr>
              <w:rPr>
                <w:rFonts w:ascii="Cambria Math" w:hAnsi="Cambria Math" w:cs="Arial"/>
                <w:bCs/>
                <w:i/>
                <w:color w:val="000000" w:themeColor="text1"/>
                <w:shd w:val="clear" w:color="auto" w:fill="FFFFFF"/>
                <w:lang w:val="en-US"/>
              </w:rPr>
            </m:ctrlPr>
          </m:fPr>
          <m:num>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e>
                </m:d>
              </m:e>
              <m:sup>
                <m:f>
                  <m:fPr>
                    <m:type m:val="lin"/>
                    <m:ctrlPr>
                      <w:rPr>
                        <w:rFonts w:ascii="Cambria Math" w:hAnsi="Cambria Math" w:cs="Arial"/>
                        <w:bCs/>
                        <w:i/>
                        <w:color w:val="000000" w:themeColor="text1"/>
                        <w:shd w:val="clear" w:color="auto" w:fill="FFFFFF"/>
                        <w:lang w:val="en-US"/>
                      </w:rPr>
                    </m:ctrlPr>
                  </m:fPr>
                  <m:num>
                    <m:r>
                      <w:rPr>
                        <w:rFonts w:ascii="Cambria Math" w:hAnsi="Cambria Math" w:cs="Arial"/>
                        <w:color w:val="000000" w:themeColor="text1"/>
                        <w:shd w:val="clear" w:color="auto" w:fill="FFFFFF"/>
                        <w:lang w:val="en-US"/>
                      </w:rPr>
                      <m:t>1</m:t>
                    </m:r>
                  </m:num>
                  <m:den>
                    <m:r>
                      <w:rPr>
                        <w:rFonts w:ascii="Cambria Math" w:hAnsi="Cambria Math" w:cs="Arial"/>
                        <w:color w:val="000000" w:themeColor="text1"/>
                        <w:shd w:val="clear" w:color="auto" w:fill="FFFFFF"/>
                        <w:lang w:val="en-US"/>
                      </w:rPr>
                      <m:t>2</m:t>
                    </m:r>
                  </m:den>
                </m:f>
              </m:sup>
            </m:sSup>
          </m:num>
          <m:den>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e>
                </m:d>
              </m:e>
              <m:sup>
                <m:r>
                  <w:rPr>
                    <w:rFonts w:ascii="Cambria Math" w:hAnsi="Cambria Math" w:cs="Arial"/>
                    <w:color w:val="000000" w:themeColor="text1"/>
                    <w:shd w:val="clear" w:color="auto" w:fill="FFFFFF"/>
                    <w:lang w:val="en-US"/>
                  </w:rPr>
                  <m:t>3</m:t>
                </m:r>
              </m:sup>
            </m:sSup>
          </m:den>
        </m:f>
      </m:oMath>
      <w:r w:rsidR="00223080" w:rsidRPr="006E25D9">
        <w:rPr>
          <w:rFonts w:eastAsiaTheme="minorEastAsia" w:cs="Arial"/>
          <w:bCs/>
          <w:color w:val="000000" w:themeColor="text1"/>
          <w:shd w:val="clear" w:color="auto" w:fill="FFFFFF"/>
          <w:lang w:val="en-US"/>
        </w:rPr>
        <w:t xml:space="preserve"> for transitions from the VB to a gap state.</w:t>
      </w:r>
    </w:p>
    <w:p w:rsidR="00223080" w:rsidRPr="006E25D9" w:rsidRDefault="006E25D9" w:rsidP="00223080">
      <w:pPr>
        <w:pStyle w:val="Prrafodelista"/>
        <w:numPr>
          <w:ilvl w:val="0"/>
          <w:numId w:val="1"/>
        </w:numPr>
        <w:jc w:val="both"/>
        <w:rPr>
          <w:rFonts w:cs="Arial"/>
          <w:bCs/>
          <w:color w:val="000000" w:themeColor="text1"/>
          <w:shd w:val="clear" w:color="auto" w:fill="FFFFFF"/>
          <w:lang w:val="en-US"/>
        </w:rPr>
      </w:pPr>
      <m:oMath>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r>
          <w:rPr>
            <w:rFonts w:ascii="Cambria Math" w:hAnsi="Cambria Math" w:cs="Arial"/>
            <w:color w:val="000000" w:themeColor="text1"/>
            <w:shd w:val="clear" w:color="auto" w:fill="FFFFFF"/>
            <w:lang w:val="en-US"/>
          </w:rPr>
          <m:t>∝</m:t>
        </m:r>
        <m:f>
          <m:fPr>
            <m:type m:val="lin"/>
            <m:ctrlPr>
              <w:rPr>
                <w:rFonts w:ascii="Cambria Math" w:hAnsi="Cambria Math" w:cs="Arial"/>
                <w:bCs/>
                <w:i/>
                <w:color w:val="000000" w:themeColor="text1"/>
                <w:shd w:val="clear" w:color="auto" w:fill="FFFFFF"/>
                <w:lang w:val="en-US"/>
              </w:rPr>
            </m:ctrlPr>
          </m:fPr>
          <m:num>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e>
                </m:d>
              </m:e>
              <m:sup>
                <m:f>
                  <m:fPr>
                    <m:type m:val="lin"/>
                    <m:ctrlPr>
                      <w:rPr>
                        <w:rFonts w:ascii="Cambria Math" w:hAnsi="Cambria Math" w:cs="Arial"/>
                        <w:bCs/>
                        <w:i/>
                        <w:color w:val="000000" w:themeColor="text1"/>
                        <w:shd w:val="clear" w:color="auto" w:fill="FFFFFF"/>
                        <w:lang w:val="en-US"/>
                      </w:rPr>
                    </m:ctrlPr>
                  </m:fPr>
                  <m:num>
                    <m:r>
                      <w:rPr>
                        <w:rFonts w:ascii="Cambria Math" w:hAnsi="Cambria Math" w:cs="Arial"/>
                        <w:color w:val="000000" w:themeColor="text1"/>
                        <w:shd w:val="clear" w:color="auto" w:fill="FFFFFF"/>
                        <w:lang w:val="en-US"/>
                      </w:rPr>
                      <m:t>3</m:t>
                    </m:r>
                  </m:num>
                  <m:den>
                    <m:r>
                      <w:rPr>
                        <w:rFonts w:ascii="Cambria Math" w:hAnsi="Cambria Math" w:cs="Arial"/>
                        <w:color w:val="000000" w:themeColor="text1"/>
                        <w:shd w:val="clear" w:color="auto" w:fill="FFFFFF"/>
                        <w:lang w:val="en-US"/>
                      </w:rPr>
                      <m:t>2</m:t>
                    </m:r>
                  </m:den>
                </m:f>
              </m:sup>
            </m:sSup>
          </m:num>
          <m:den>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e>
                </m:d>
              </m:e>
              <m:sup>
                <m:r>
                  <w:rPr>
                    <w:rFonts w:ascii="Cambria Math" w:hAnsi="Cambria Math" w:cs="Arial"/>
                    <w:color w:val="000000" w:themeColor="text1"/>
                    <w:shd w:val="clear" w:color="auto" w:fill="FFFFFF"/>
                    <w:lang w:val="en-US"/>
                  </w:rPr>
                  <m:t>3</m:t>
                </m:r>
              </m:sup>
            </m:sSup>
          </m:den>
        </m:f>
      </m:oMath>
      <w:r w:rsidR="00223080" w:rsidRPr="006E25D9">
        <w:rPr>
          <w:rFonts w:eastAsiaTheme="minorEastAsia" w:cs="Arial"/>
          <w:bCs/>
          <w:color w:val="000000" w:themeColor="text1"/>
          <w:shd w:val="clear" w:color="auto" w:fill="FFFFFF"/>
          <w:lang w:val="en-US"/>
        </w:rPr>
        <w:t xml:space="preserve"> for transitions from a gap state to the CB.</w:t>
      </w:r>
    </w:p>
    <w:p w:rsidR="00AA5D14" w:rsidRPr="006E25D9" w:rsidRDefault="00AA5D14" w:rsidP="00223080">
      <w:pPr>
        <w:jc w:val="both"/>
        <w:rPr>
          <w:rFonts w:cs="Arial"/>
          <w:bCs/>
          <w:color w:val="000000" w:themeColor="text1"/>
          <w:shd w:val="clear" w:color="auto" w:fill="FFFFFF"/>
          <w:lang w:val="en-US"/>
        </w:rPr>
      </w:pPr>
      <w:r w:rsidRPr="006E25D9">
        <w:rPr>
          <w:rFonts w:cs="Arial"/>
          <w:bCs/>
          <w:color w:val="000000" w:themeColor="text1"/>
          <w:shd w:val="clear" w:color="auto" w:fill="FFFFFF"/>
          <w:lang w:val="en-US"/>
        </w:rPr>
        <w:t xml:space="preserve">Note that the magnitude shown is different for every </w:t>
      </w:r>
      <w:proofErr w:type="gramStart"/>
      <w:r w:rsidRPr="006E25D9">
        <w:rPr>
          <w:rFonts w:cs="Arial"/>
          <w:bCs/>
          <w:color w:val="000000" w:themeColor="text1"/>
          <w:shd w:val="clear" w:color="auto" w:fill="FFFFFF"/>
          <w:lang w:val="en-US"/>
        </w:rPr>
        <w:t>formulae</w:t>
      </w:r>
      <w:proofErr w:type="gramEnd"/>
      <w:r w:rsidRPr="006E25D9">
        <w:rPr>
          <w:rFonts w:cs="Arial"/>
          <w:bCs/>
          <w:color w:val="000000" w:themeColor="text1"/>
          <w:shd w:val="clear" w:color="auto" w:fill="FFFFFF"/>
          <w:lang w:val="en-US"/>
        </w:rPr>
        <w:t>, and that the ordinates axis</w:t>
      </w:r>
      <w:r w:rsidR="00B83731" w:rsidRPr="006E25D9">
        <w:rPr>
          <w:rFonts w:cs="Arial"/>
          <w:bCs/>
          <w:color w:val="000000" w:themeColor="text1"/>
          <w:shd w:val="clear" w:color="auto" w:fill="FFFFFF"/>
          <w:lang w:val="en-US"/>
        </w:rPr>
        <w:t xml:space="preserve"> is shown</w:t>
      </w:r>
      <w:r w:rsidRPr="006E25D9">
        <w:rPr>
          <w:rFonts w:cs="Arial"/>
          <w:bCs/>
          <w:color w:val="000000" w:themeColor="text1"/>
          <w:shd w:val="clear" w:color="auto" w:fill="FFFFFF"/>
          <w:lang w:val="en-US"/>
        </w:rPr>
        <w:t xml:space="preserve"> in logarithmic scale in order to better see all the fits</w:t>
      </w:r>
      <w:r w:rsidR="00B83731" w:rsidRPr="006E25D9">
        <w:rPr>
          <w:rFonts w:cs="Arial"/>
          <w:bCs/>
          <w:color w:val="000000" w:themeColor="text1"/>
          <w:shd w:val="clear" w:color="auto" w:fill="FFFFFF"/>
          <w:lang w:val="en-US"/>
        </w:rPr>
        <w:t xml:space="preserve"> in the same graph</w:t>
      </w:r>
      <w:r w:rsidRPr="006E25D9">
        <w:rPr>
          <w:rFonts w:cs="Arial"/>
          <w:bCs/>
          <w:color w:val="000000" w:themeColor="text1"/>
          <w:shd w:val="clear" w:color="auto" w:fill="FFFFFF"/>
          <w:lang w:val="en-US"/>
        </w:rPr>
        <w:t xml:space="preserve">. All the </w:t>
      </w:r>
      <w:r w:rsidR="00E72EA7" w:rsidRPr="006E25D9">
        <w:rPr>
          <w:rFonts w:cs="Arial"/>
          <w:bCs/>
          <w:color w:val="000000" w:themeColor="text1"/>
          <w:shd w:val="clear" w:color="auto" w:fill="FFFFFF"/>
          <w:lang w:val="en-US"/>
        </w:rPr>
        <w:t>experimental curves</w:t>
      </w:r>
      <w:r w:rsidRPr="006E25D9">
        <w:rPr>
          <w:rFonts w:cs="Arial"/>
          <w:bCs/>
          <w:color w:val="000000" w:themeColor="text1"/>
          <w:shd w:val="clear" w:color="auto" w:fill="FFFFFF"/>
          <w:lang w:val="en-US"/>
        </w:rPr>
        <w:t xml:space="preserve"> are </w:t>
      </w:r>
      <w:r w:rsidR="000421DC" w:rsidRPr="006E25D9">
        <w:rPr>
          <w:rFonts w:cs="Arial"/>
          <w:bCs/>
          <w:color w:val="000000" w:themeColor="text1"/>
          <w:shd w:val="clear" w:color="auto" w:fill="FFFFFF"/>
          <w:lang w:val="en-US"/>
        </w:rPr>
        <w:t xml:space="preserve">the </w:t>
      </w:r>
      <w:r w:rsidRPr="006E25D9">
        <w:rPr>
          <w:rFonts w:cs="Arial"/>
          <w:bCs/>
          <w:color w:val="000000" w:themeColor="text1"/>
          <w:shd w:val="clear" w:color="auto" w:fill="FFFFFF"/>
          <w:lang w:val="en-US"/>
        </w:rPr>
        <w:t xml:space="preserve">transformation to a linear fit of the previous formulae. For example, the magnitude shown for the </w:t>
      </w:r>
      <m:oMath>
        <m:f>
          <m:fPr>
            <m:type m:val="lin"/>
            <m:ctrlPr>
              <w:rPr>
                <w:rFonts w:ascii="Cambria Math" w:hAnsi="Cambria Math" w:cs="Arial"/>
                <w:bCs/>
                <w:i/>
                <w:color w:val="000000" w:themeColor="text1"/>
                <w:shd w:val="clear" w:color="auto" w:fill="FFFFFF"/>
                <w:lang w:val="en-US"/>
              </w:rPr>
            </m:ctrlPr>
          </m:fPr>
          <m:num>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e>
                </m:d>
              </m:e>
              <m:sup>
                <m:f>
                  <m:fPr>
                    <m:type m:val="lin"/>
                    <m:ctrlPr>
                      <w:rPr>
                        <w:rFonts w:ascii="Cambria Math" w:hAnsi="Cambria Math" w:cs="Arial"/>
                        <w:bCs/>
                        <w:i/>
                        <w:color w:val="000000" w:themeColor="text1"/>
                        <w:shd w:val="clear" w:color="auto" w:fill="FFFFFF"/>
                        <w:lang w:val="en-US"/>
                      </w:rPr>
                    </m:ctrlPr>
                  </m:fPr>
                  <m:num>
                    <m:r>
                      <w:rPr>
                        <w:rFonts w:ascii="Cambria Math" w:hAnsi="Cambria Math" w:cs="Arial"/>
                        <w:color w:val="000000" w:themeColor="text1"/>
                        <w:shd w:val="clear" w:color="auto" w:fill="FFFFFF"/>
                        <w:lang w:val="en-US"/>
                      </w:rPr>
                      <m:t>3</m:t>
                    </m:r>
                  </m:num>
                  <m:den>
                    <m:r>
                      <w:rPr>
                        <w:rFonts w:ascii="Cambria Math" w:hAnsi="Cambria Math" w:cs="Arial"/>
                        <w:color w:val="000000" w:themeColor="text1"/>
                        <w:shd w:val="clear" w:color="auto" w:fill="FFFFFF"/>
                        <w:lang w:val="en-US"/>
                      </w:rPr>
                      <m:t>2</m:t>
                    </m:r>
                  </m:den>
                </m:f>
              </m:sup>
            </m:sSup>
          </m:num>
          <m:den>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e>
                </m:d>
              </m:e>
              <m:sup>
                <m:r>
                  <w:rPr>
                    <w:rFonts w:ascii="Cambria Math" w:hAnsi="Cambria Math" w:cs="Arial"/>
                    <w:color w:val="000000" w:themeColor="text1"/>
                    <w:shd w:val="clear" w:color="auto" w:fill="FFFFFF"/>
                    <w:lang w:val="en-US"/>
                  </w:rPr>
                  <m:t>3</m:t>
                </m:r>
              </m:sup>
            </m:sSup>
          </m:den>
        </m:f>
      </m:oMath>
      <w:r w:rsidRPr="006E25D9">
        <w:rPr>
          <w:rFonts w:eastAsiaTheme="minorEastAsia" w:cs="Arial"/>
          <w:bCs/>
          <w:color w:val="000000" w:themeColor="text1"/>
          <w:shd w:val="clear" w:color="auto" w:fill="FFFFFF"/>
          <w:lang w:val="en-US"/>
        </w:rPr>
        <w:t xml:space="preserve"> formula is </w:t>
      </w:r>
      <m:oMath>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r>
                  <w:rPr>
                    <w:rFonts w:ascii="Cambria Math" w:hAnsi="Cambria Math" w:cs="Arial"/>
                    <w:color w:val="000000" w:themeColor="text1"/>
                    <w:shd w:val="clear" w:color="auto" w:fill="FFFFFF"/>
                    <w:lang w:val="en-US"/>
                  </w:rPr>
                  <m:t>×</m:t>
                </m:r>
                <m:sSup>
                  <m:sSupPr>
                    <m:ctrlPr>
                      <w:rPr>
                        <w:rFonts w:ascii="Cambria Math" w:hAnsi="Cambria Math" w:cs="Arial"/>
                        <w:bCs/>
                        <w:i/>
                        <w:color w:val="000000" w:themeColor="text1"/>
                        <w:shd w:val="clear" w:color="auto" w:fill="FFFFFF"/>
                        <w:lang w:val="en-US"/>
                      </w:rPr>
                    </m:ctrlPr>
                  </m:sSupPr>
                  <m:e>
                    <m:d>
                      <m:dPr>
                        <m:ctrlPr>
                          <w:rPr>
                            <w:rFonts w:ascii="Cambria Math" w:hAnsi="Cambria Math" w:cs="Arial"/>
                            <w:bCs/>
                            <w:i/>
                            <w:color w:val="000000" w:themeColor="text1"/>
                            <w:shd w:val="clear" w:color="auto" w:fill="FFFFFF"/>
                            <w:lang w:val="en-US"/>
                          </w:rPr>
                        </m:ctrlPr>
                      </m:dPr>
                      <m:e>
                        <m:r>
                          <w:rPr>
                            <w:rFonts w:ascii="Cambria Math" w:hAnsi="Cambria Math" w:cs="Arial"/>
                            <w:color w:val="000000" w:themeColor="text1"/>
                            <w:shd w:val="clear" w:color="auto" w:fill="FFFFFF"/>
                            <w:lang w:val="en-US"/>
                          </w:rPr>
                          <m:t>hυ</m:t>
                        </m:r>
                      </m:e>
                    </m:d>
                  </m:e>
                  <m:sup>
                    <m:r>
                      <w:rPr>
                        <w:rFonts w:ascii="Cambria Math" w:hAnsi="Cambria Math" w:cs="Arial"/>
                        <w:color w:val="000000" w:themeColor="text1"/>
                        <w:shd w:val="clear" w:color="auto" w:fill="FFFFFF"/>
                        <w:lang w:val="en-US"/>
                      </w:rPr>
                      <m:t>3</m:t>
                    </m:r>
                  </m:sup>
                </m:sSup>
              </m:e>
            </m:d>
          </m:e>
          <m:sup>
            <m:f>
              <m:fPr>
                <m:type m:val="lin"/>
                <m:ctrlPr>
                  <w:rPr>
                    <w:rFonts w:ascii="Cambria Math" w:hAnsi="Cambria Math" w:cs="Arial"/>
                    <w:bCs/>
                    <w:i/>
                    <w:color w:val="000000" w:themeColor="text1"/>
                    <w:shd w:val="clear" w:color="auto" w:fill="FFFFFF"/>
                    <w:lang w:val="en-US"/>
                  </w:rPr>
                </m:ctrlPr>
              </m:fPr>
              <m:num>
                <m:r>
                  <w:rPr>
                    <w:rFonts w:ascii="Cambria Math" w:hAnsi="Cambria Math" w:cs="Arial"/>
                    <w:color w:val="000000" w:themeColor="text1"/>
                    <w:shd w:val="clear" w:color="auto" w:fill="FFFFFF"/>
                    <w:lang w:val="en-US"/>
                  </w:rPr>
                  <m:t>2</m:t>
                </m:r>
              </m:num>
              <m:den>
                <m:r>
                  <w:rPr>
                    <w:rFonts w:ascii="Cambria Math" w:hAnsi="Cambria Math" w:cs="Arial"/>
                    <w:color w:val="000000" w:themeColor="text1"/>
                    <w:shd w:val="clear" w:color="auto" w:fill="FFFFFF"/>
                    <w:lang w:val="en-US"/>
                  </w:rPr>
                  <m:t>3</m:t>
                </m:r>
              </m:den>
            </m:f>
          </m:sup>
        </m:sSup>
        <m:r>
          <w:rPr>
            <w:rFonts w:ascii="Cambria Math" w:hAnsi="Cambria Math" w:cs="Arial"/>
            <w:color w:val="000000" w:themeColor="text1"/>
            <w:shd w:val="clear" w:color="auto" w:fill="FFFFFF"/>
            <w:lang w:val="en-US"/>
          </w:rPr>
          <m:t>∝hυ-</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oMath>
      <w:r w:rsidRPr="006E25D9">
        <w:rPr>
          <w:rFonts w:eastAsiaTheme="minorEastAsia" w:cs="Arial"/>
          <w:bCs/>
          <w:color w:val="000000" w:themeColor="text1"/>
          <w:shd w:val="clear" w:color="auto" w:fill="FFFFFF"/>
          <w:lang w:val="en-US"/>
        </w:rPr>
        <w:t>,</w:t>
      </w:r>
      <w:r w:rsidR="000421DC" w:rsidRPr="006E25D9">
        <w:rPr>
          <w:rFonts w:eastAsiaTheme="minorEastAsia" w:cs="Arial"/>
          <w:bCs/>
          <w:color w:val="000000" w:themeColor="text1"/>
          <w:shd w:val="clear" w:color="auto" w:fill="FFFFFF"/>
          <w:lang w:val="en-US"/>
        </w:rPr>
        <w:t xml:space="preserve"> being </w:t>
      </w:r>
      <m:oMath>
        <m:r>
          <w:rPr>
            <w:rFonts w:ascii="Cambria Math" w:hAnsi="Cambria Math" w:cs="Arial"/>
            <w:color w:val="000000" w:themeColor="text1"/>
            <w:shd w:val="clear" w:color="auto" w:fill="FFFFFF"/>
            <w:lang w:val="en-US"/>
          </w:rPr>
          <m:t>∆</m:t>
        </m:r>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G</m:t>
            </m:r>
          </m:e>
          <m:sub>
            <m:r>
              <w:rPr>
                <w:rFonts w:ascii="Cambria Math" w:hAnsi="Cambria Math" w:cs="Arial"/>
                <w:color w:val="000000" w:themeColor="text1"/>
                <w:shd w:val="clear" w:color="auto" w:fill="FFFFFF"/>
                <w:lang w:val="en-US"/>
              </w:rPr>
              <m:t>s</m:t>
            </m:r>
          </m:sub>
        </m:sSub>
      </m:oMath>
      <w:r w:rsidR="000421DC" w:rsidRPr="006E25D9">
        <w:rPr>
          <w:rFonts w:eastAsiaTheme="minorEastAsia" w:cs="Arial"/>
          <w:bCs/>
          <w:color w:val="000000" w:themeColor="text1"/>
          <w:shd w:val="clear" w:color="auto" w:fill="FFFFFF"/>
          <w:lang w:val="en-US"/>
        </w:rPr>
        <w:t xml:space="preserve"> the measured sheet </w:t>
      </w:r>
      <w:r w:rsidR="000421DC" w:rsidRPr="006E25D9">
        <w:rPr>
          <w:bCs/>
          <w:color w:val="000000" w:themeColor="text1"/>
          <w:lang w:val="en-US"/>
        </w:rPr>
        <w:t>photoco</w:t>
      </w:r>
      <w:r w:rsidR="00E72EA7" w:rsidRPr="006E25D9">
        <w:rPr>
          <w:bCs/>
          <w:color w:val="000000" w:themeColor="text1"/>
          <w:lang w:val="en-US"/>
        </w:rPr>
        <w:t>nduct</w:t>
      </w:r>
      <w:r w:rsidR="006E25D9">
        <w:rPr>
          <w:bCs/>
          <w:color w:val="000000" w:themeColor="text1"/>
          <w:lang w:val="en-US"/>
        </w:rPr>
        <w:t>a</w:t>
      </w:r>
      <w:r w:rsidR="00E72EA7" w:rsidRPr="006E25D9">
        <w:rPr>
          <w:bCs/>
          <w:color w:val="000000" w:themeColor="text1"/>
          <w:lang w:val="en-US"/>
        </w:rPr>
        <w:t>nce</w:t>
      </w:r>
      <w:r w:rsidR="00E72EA7" w:rsidRPr="006E25D9">
        <w:rPr>
          <w:rFonts w:eastAsiaTheme="minorEastAsia" w:cs="Arial"/>
          <w:bCs/>
          <w:color w:val="000000" w:themeColor="text1"/>
          <w:shd w:val="clear" w:color="auto" w:fill="FFFFFF"/>
          <w:lang w:val="en-US"/>
        </w:rPr>
        <w:t>. With this particular transformation</w:t>
      </w:r>
      <w:r w:rsidRPr="006E25D9">
        <w:rPr>
          <w:rFonts w:eastAsiaTheme="minorEastAsia" w:cs="Arial"/>
          <w:bCs/>
          <w:color w:val="000000" w:themeColor="text1"/>
          <w:shd w:val="clear" w:color="auto" w:fill="FFFFFF"/>
          <w:lang w:val="en-US"/>
        </w:rPr>
        <w:t xml:space="preserve"> we would obtain the energy of the transition, </w:t>
      </w:r>
      <m:oMath>
        <m:sSub>
          <m:sSubPr>
            <m:ctrlPr>
              <w:rPr>
                <w:rFonts w:ascii="Cambria Math" w:hAnsi="Cambria Math" w:cs="Arial"/>
                <w:bCs/>
                <w:i/>
                <w:color w:val="000000" w:themeColor="text1"/>
                <w:shd w:val="clear" w:color="auto" w:fill="FFFFFF"/>
                <w:lang w:val="en-US"/>
              </w:rPr>
            </m:ctrlPr>
          </m:sSubPr>
          <m:e>
            <m:r>
              <w:rPr>
                <w:rFonts w:ascii="Cambria Math" w:hAnsi="Cambria Math" w:cs="Arial"/>
                <w:color w:val="000000" w:themeColor="text1"/>
                <w:shd w:val="clear" w:color="auto" w:fill="FFFFFF"/>
                <w:lang w:val="en-US"/>
              </w:rPr>
              <m:t>E</m:t>
            </m:r>
          </m:e>
          <m:sub>
            <m:r>
              <w:rPr>
                <w:rFonts w:ascii="Cambria Math" w:hAnsi="Cambria Math" w:cs="Arial"/>
                <w:color w:val="000000" w:themeColor="text1"/>
                <w:shd w:val="clear" w:color="auto" w:fill="FFFFFF"/>
                <w:lang w:val="en-US"/>
              </w:rPr>
              <m:t>i</m:t>
            </m:r>
          </m:sub>
        </m:sSub>
      </m:oMath>
      <w:r w:rsidRPr="006E25D9">
        <w:rPr>
          <w:rFonts w:eastAsiaTheme="minorEastAsia" w:cs="Arial"/>
          <w:bCs/>
          <w:color w:val="000000" w:themeColor="text1"/>
          <w:shd w:val="clear" w:color="auto" w:fill="FFFFFF"/>
          <w:lang w:val="en-US"/>
        </w:rPr>
        <w:t>, by a linear fit.</w:t>
      </w:r>
    </w:p>
    <w:p w:rsidR="00223080" w:rsidRPr="006E25D9" w:rsidRDefault="00223080" w:rsidP="00223080">
      <w:pPr>
        <w:jc w:val="both"/>
        <w:rPr>
          <w:bCs/>
          <w:color w:val="000000" w:themeColor="text1"/>
          <w:lang w:val="en-US"/>
        </w:rPr>
      </w:pPr>
      <w:r w:rsidRPr="006E25D9">
        <w:rPr>
          <w:rFonts w:cs="Arial"/>
          <w:bCs/>
          <w:color w:val="000000" w:themeColor="text1"/>
          <w:shd w:val="clear" w:color="auto" w:fill="FFFFFF"/>
          <w:lang w:val="en-US"/>
        </w:rPr>
        <w:t>As it can be seen,</w:t>
      </w:r>
      <w:r w:rsidR="00AA5D14" w:rsidRPr="006E25D9">
        <w:rPr>
          <w:rFonts w:cs="Arial"/>
          <w:bCs/>
          <w:color w:val="000000" w:themeColor="text1"/>
          <w:shd w:val="clear" w:color="auto" w:fill="FFFFFF"/>
          <w:lang w:val="en-US"/>
        </w:rPr>
        <w:t xml:space="preserve"> the best fit to all the energy range is the one related to indirect band-to-band transitions. In order to obtain a good</w:t>
      </w:r>
      <w:r w:rsidR="00E9157F" w:rsidRPr="006E25D9">
        <w:rPr>
          <w:rFonts w:cs="Arial"/>
          <w:bCs/>
          <w:color w:val="000000" w:themeColor="text1"/>
          <w:shd w:val="clear" w:color="auto" w:fill="FFFFFF"/>
          <w:lang w:val="en-US"/>
        </w:rPr>
        <w:t xml:space="preserve"> linear</w:t>
      </w:r>
      <w:r w:rsidR="00AA5D14" w:rsidRPr="006E25D9">
        <w:rPr>
          <w:rFonts w:cs="Arial"/>
          <w:bCs/>
          <w:color w:val="000000" w:themeColor="text1"/>
          <w:shd w:val="clear" w:color="auto" w:fill="FFFFFF"/>
          <w:lang w:val="en-US"/>
        </w:rPr>
        <w:t xml:space="preserve"> fit for the other formulae, we would have to reduce the energy range</w:t>
      </w:r>
      <w:r w:rsidR="00E72EA7" w:rsidRPr="006E25D9">
        <w:rPr>
          <w:rFonts w:cs="Arial"/>
          <w:bCs/>
          <w:color w:val="000000" w:themeColor="text1"/>
          <w:shd w:val="clear" w:color="auto" w:fill="FFFFFF"/>
          <w:lang w:val="en-US"/>
        </w:rPr>
        <w:t xml:space="preserve"> used</w:t>
      </w:r>
      <w:r w:rsidR="00AA5D14" w:rsidRPr="006E25D9">
        <w:rPr>
          <w:rFonts w:cs="Arial"/>
          <w:bCs/>
          <w:color w:val="000000" w:themeColor="text1"/>
          <w:shd w:val="clear" w:color="auto" w:fill="FFFFFF"/>
          <w:lang w:val="en-US"/>
        </w:rPr>
        <w:t>.</w:t>
      </w:r>
    </w:p>
    <w:p w:rsidR="00594324" w:rsidRDefault="00594324" w:rsidP="00594324">
      <w:pPr>
        <w:jc w:val="center"/>
        <w:rPr>
          <w:lang w:val="en-US"/>
        </w:rPr>
      </w:pPr>
      <w:r>
        <w:rPr>
          <w:noProof/>
          <w:lang w:eastAsia="es-ES"/>
        </w:rPr>
        <w:drawing>
          <wp:inline distT="0" distB="0" distL="0" distR="0">
            <wp:extent cx="3171771" cy="2495144"/>
            <wp:effectExtent l="0" t="0" r="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justes TGP1.tif"/>
                    <pic:cNvPicPr/>
                  </pic:nvPicPr>
                  <pic:blipFill rotWithShape="1">
                    <a:blip r:embed="rId5" cstate="print">
                      <a:extLst>
                        <a:ext uri="{28A0092B-C50C-407E-A947-70E740481C1C}">
                          <a14:useLocalDpi xmlns:a14="http://schemas.microsoft.com/office/drawing/2010/main" val="0"/>
                        </a:ext>
                      </a:extLst>
                    </a:blip>
                    <a:srcRect l="7746" t="9048" r="13350" b="3138"/>
                    <a:stretch/>
                  </pic:blipFill>
                  <pic:spPr bwMode="auto">
                    <a:xfrm>
                      <a:off x="0" y="0"/>
                      <a:ext cx="3178851" cy="2500714"/>
                    </a:xfrm>
                    <a:prstGeom prst="rect">
                      <a:avLst/>
                    </a:prstGeom>
                    <a:ln>
                      <a:noFill/>
                    </a:ln>
                    <a:extLst>
                      <a:ext uri="{53640926-AAD7-44D8-BBD7-CCE9431645EC}">
                        <a14:shadowObscured xmlns:a14="http://schemas.microsoft.com/office/drawing/2010/main"/>
                      </a:ext>
                    </a:extLst>
                  </pic:spPr>
                </pic:pic>
              </a:graphicData>
            </a:graphic>
          </wp:inline>
        </w:drawing>
      </w:r>
    </w:p>
    <w:p w:rsidR="00486742" w:rsidRPr="006E25D9" w:rsidRDefault="00223080" w:rsidP="009D391E">
      <w:pPr>
        <w:jc w:val="both"/>
        <w:rPr>
          <w:color w:val="000000" w:themeColor="text1"/>
          <w:sz w:val="18"/>
          <w:szCs w:val="18"/>
          <w:lang w:val="en-US"/>
        </w:rPr>
      </w:pPr>
      <w:r w:rsidRPr="002E1779">
        <w:rPr>
          <w:b/>
          <w:sz w:val="18"/>
          <w:szCs w:val="18"/>
          <w:lang w:val="en-US"/>
        </w:rPr>
        <w:t>Figure S1.</w:t>
      </w:r>
      <w:r w:rsidRPr="002E1779">
        <w:rPr>
          <w:sz w:val="18"/>
          <w:szCs w:val="18"/>
          <w:lang w:val="en-US"/>
        </w:rPr>
        <w:t xml:space="preserve"> </w:t>
      </w:r>
      <w:r w:rsidR="00486742" w:rsidRPr="006E25D9">
        <w:rPr>
          <w:color w:val="000000" w:themeColor="text1"/>
          <w:sz w:val="18"/>
          <w:szCs w:val="18"/>
          <w:lang w:val="en-US"/>
        </w:rPr>
        <w:t xml:space="preserve">Transformation of the measured sheet </w:t>
      </w:r>
      <w:proofErr w:type="spellStart"/>
      <w:r w:rsidR="00486742" w:rsidRPr="006E25D9">
        <w:rPr>
          <w:color w:val="000000" w:themeColor="text1"/>
          <w:sz w:val="18"/>
          <w:szCs w:val="18"/>
          <w:lang w:val="en-US"/>
        </w:rPr>
        <w:t>photoconductance</w:t>
      </w:r>
      <w:proofErr w:type="spellEnd"/>
      <w:r w:rsidR="00486742" w:rsidRPr="006E25D9">
        <w:rPr>
          <w:color w:val="000000" w:themeColor="text1"/>
          <w:sz w:val="18"/>
          <w:szCs w:val="18"/>
          <w:lang w:val="en-US"/>
        </w:rPr>
        <w:t xml:space="preserve"> of the </w:t>
      </w:r>
      <w:proofErr w:type="spellStart"/>
      <w:r w:rsidR="00486742" w:rsidRPr="006E25D9">
        <w:rPr>
          <w:color w:val="000000" w:themeColor="text1"/>
          <w:sz w:val="18"/>
          <w:szCs w:val="18"/>
          <w:lang w:val="en-US"/>
        </w:rPr>
        <w:t>SI-</w:t>
      </w:r>
      <w:proofErr w:type="gramStart"/>
      <w:r w:rsidR="00486742" w:rsidRPr="006E25D9">
        <w:rPr>
          <w:color w:val="000000" w:themeColor="text1"/>
          <w:sz w:val="18"/>
          <w:szCs w:val="18"/>
          <w:lang w:val="en-US"/>
        </w:rPr>
        <w:t>GaP:Ti</w:t>
      </w:r>
      <w:proofErr w:type="spellEnd"/>
      <w:proofErr w:type="gramEnd"/>
      <w:r w:rsidR="00486742" w:rsidRPr="006E25D9">
        <w:rPr>
          <w:color w:val="000000" w:themeColor="text1"/>
          <w:sz w:val="18"/>
          <w:szCs w:val="18"/>
          <w:lang w:val="en-US"/>
        </w:rPr>
        <w:t xml:space="preserve"> sample implanted with the 8×10</w:t>
      </w:r>
      <w:r w:rsidR="00486742" w:rsidRPr="006E25D9">
        <w:rPr>
          <w:color w:val="000000" w:themeColor="text1"/>
          <w:sz w:val="18"/>
          <w:szCs w:val="18"/>
          <w:vertAlign w:val="superscript"/>
          <w:lang w:val="en-US"/>
        </w:rPr>
        <w:t>14</w:t>
      </w:r>
      <w:r w:rsidR="00486742" w:rsidRPr="006E25D9">
        <w:rPr>
          <w:color w:val="000000" w:themeColor="text1"/>
          <w:sz w:val="18"/>
          <w:szCs w:val="18"/>
          <w:lang w:val="en-US"/>
        </w:rPr>
        <w:t xml:space="preserve"> cm</w:t>
      </w:r>
      <w:r w:rsidR="00486742" w:rsidRPr="006E25D9">
        <w:rPr>
          <w:color w:val="000000" w:themeColor="text1"/>
          <w:sz w:val="18"/>
          <w:szCs w:val="18"/>
          <w:vertAlign w:val="superscript"/>
          <w:lang w:val="en-US"/>
        </w:rPr>
        <w:t>-3</w:t>
      </w:r>
      <w:r w:rsidR="00486742" w:rsidRPr="006E25D9">
        <w:rPr>
          <w:color w:val="000000" w:themeColor="text1"/>
          <w:sz w:val="18"/>
          <w:szCs w:val="18"/>
          <w:lang w:val="en-US"/>
        </w:rPr>
        <w:t xml:space="preserve"> as a function of the photon energy to the four classical formulae referenced above. Symbols are the measured data, while lines are the linear fit (note that the ordinates axis is in a logarithmic scale).</w:t>
      </w:r>
    </w:p>
    <w:p w:rsidR="00223080" w:rsidRPr="006E25D9" w:rsidRDefault="009D391E" w:rsidP="009D391E">
      <w:pPr>
        <w:jc w:val="both"/>
        <w:rPr>
          <w:bCs/>
          <w:color w:val="000000" w:themeColor="text1"/>
          <w:lang w:val="en-US"/>
        </w:rPr>
      </w:pPr>
      <w:r w:rsidRPr="006E25D9">
        <w:rPr>
          <w:bCs/>
          <w:color w:val="000000" w:themeColor="text1"/>
          <w:lang w:val="en-US"/>
        </w:rPr>
        <w:t>In the following table we show the coefficient of determination, R</w:t>
      </w:r>
      <w:r w:rsidRPr="006E25D9">
        <w:rPr>
          <w:bCs/>
          <w:color w:val="000000" w:themeColor="text1"/>
          <w:vertAlign w:val="superscript"/>
          <w:lang w:val="en-US"/>
        </w:rPr>
        <w:t>2</w:t>
      </w:r>
      <w:r w:rsidRPr="006E25D9">
        <w:rPr>
          <w:bCs/>
          <w:color w:val="000000" w:themeColor="text1"/>
          <w:lang w:val="en-US"/>
        </w:rPr>
        <w:t>, of all the linear fits</w:t>
      </w:r>
      <w:r w:rsidR="00AA5D14" w:rsidRPr="006E25D9">
        <w:rPr>
          <w:bCs/>
          <w:color w:val="000000" w:themeColor="text1"/>
          <w:lang w:val="en-US"/>
        </w:rPr>
        <w:t xml:space="preserve"> </w:t>
      </w:r>
      <w:r w:rsidRPr="006E25D9">
        <w:rPr>
          <w:bCs/>
          <w:color w:val="000000" w:themeColor="text1"/>
          <w:lang w:val="en-US"/>
        </w:rPr>
        <w:t xml:space="preserve">to the formulae presented above, for all the samples analyzed. As it can be seen, the best fit is the one for indirect bandgap transitions, although the fit to the formula of transitions from a gap state to the conduction band is also quite good. </w:t>
      </w:r>
      <w:proofErr w:type="gramStart"/>
      <w:r w:rsidRPr="006E25D9">
        <w:rPr>
          <w:rFonts w:cs="Arial"/>
          <w:bCs/>
          <w:color w:val="000000" w:themeColor="text1"/>
          <w:shd w:val="clear" w:color="auto" w:fill="FFFFFF"/>
          <w:lang w:val="en-US"/>
        </w:rPr>
        <w:t>Therefore</w:t>
      </w:r>
      <w:proofErr w:type="gramEnd"/>
      <w:r w:rsidRPr="006E25D9">
        <w:rPr>
          <w:rFonts w:cs="Arial"/>
          <w:bCs/>
          <w:color w:val="000000" w:themeColor="text1"/>
          <w:shd w:val="clear" w:color="auto" w:fill="FFFFFF"/>
          <w:lang w:val="en-US"/>
        </w:rPr>
        <w:t xml:space="preserve"> we suggest that the transitions related to the Ti levels are indirect transitions from the valence band to the Ti impurity band or from the Ti impurity band to the conduction band</w:t>
      </w:r>
      <w:r w:rsidR="008B2437" w:rsidRPr="006E25D9">
        <w:rPr>
          <w:rFonts w:cs="Arial"/>
          <w:bCs/>
          <w:color w:val="000000" w:themeColor="text1"/>
          <w:shd w:val="clear" w:color="auto" w:fill="FFFFFF"/>
          <w:lang w:val="en-US"/>
        </w:rPr>
        <w:t xml:space="preserve">, or both at the same time, since the energy of the transition is just at the middle of the </w:t>
      </w:r>
      <w:proofErr w:type="spellStart"/>
      <w:r w:rsidR="008B2437" w:rsidRPr="006E25D9">
        <w:rPr>
          <w:rFonts w:cs="Arial"/>
          <w:bCs/>
          <w:color w:val="000000" w:themeColor="text1"/>
          <w:shd w:val="clear" w:color="auto" w:fill="FFFFFF"/>
          <w:lang w:val="en-US"/>
        </w:rPr>
        <w:t>GaP</w:t>
      </w:r>
      <w:proofErr w:type="spellEnd"/>
      <w:r w:rsidR="008B2437" w:rsidRPr="006E25D9">
        <w:rPr>
          <w:rFonts w:cs="Arial"/>
          <w:bCs/>
          <w:color w:val="000000" w:themeColor="text1"/>
          <w:shd w:val="clear" w:color="auto" w:fill="FFFFFF"/>
          <w:lang w:val="en-US"/>
        </w:rPr>
        <w:t xml:space="preserve"> bandgap and both transitions would be overlapping.</w:t>
      </w:r>
    </w:p>
    <w:tbl>
      <w:tblPr>
        <w:tblStyle w:val="Tablaconcuadrcula"/>
        <w:tblW w:w="0" w:type="auto"/>
        <w:jc w:val="center"/>
        <w:tblLook w:val="04A0" w:firstRow="1" w:lastRow="0" w:firstColumn="1" w:lastColumn="0" w:noHBand="0" w:noVBand="1"/>
      </w:tblPr>
      <w:tblGrid>
        <w:gridCol w:w="2235"/>
        <w:gridCol w:w="923"/>
        <w:gridCol w:w="830"/>
        <w:gridCol w:w="1241"/>
        <w:gridCol w:w="1258"/>
      </w:tblGrid>
      <w:tr w:rsidR="00E72EA7" w:rsidTr="0059612B">
        <w:trPr>
          <w:jc w:val="center"/>
        </w:trPr>
        <w:tc>
          <w:tcPr>
            <w:tcW w:w="2235" w:type="dxa"/>
          </w:tcPr>
          <w:p w:rsidR="00E72EA7" w:rsidRPr="000B5A2E" w:rsidRDefault="0059612B" w:rsidP="00E74944">
            <w:pPr>
              <w:jc w:val="center"/>
              <w:rPr>
                <w:b/>
              </w:rPr>
            </w:pPr>
            <w:proofErr w:type="spellStart"/>
            <w:r>
              <w:rPr>
                <w:b/>
              </w:rPr>
              <w:t>Sample</w:t>
            </w:r>
            <w:proofErr w:type="spellEnd"/>
          </w:p>
        </w:tc>
        <w:tc>
          <w:tcPr>
            <w:tcW w:w="923" w:type="dxa"/>
          </w:tcPr>
          <w:p w:rsidR="00E72EA7" w:rsidRPr="000B5A2E" w:rsidRDefault="00E72EA7" w:rsidP="00E74944">
            <w:pPr>
              <w:jc w:val="center"/>
              <w:rPr>
                <w:b/>
              </w:rPr>
            </w:pPr>
            <w:proofErr w:type="spellStart"/>
            <w:r w:rsidRPr="000B5A2E">
              <w:rPr>
                <w:b/>
              </w:rPr>
              <w:t>Indirect</w:t>
            </w:r>
            <w:proofErr w:type="spellEnd"/>
          </w:p>
        </w:tc>
        <w:tc>
          <w:tcPr>
            <w:tcW w:w="830" w:type="dxa"/>
          </w:tcPr>
          <w:p w:rsidR="00E72EA7" w:rsidRPr="000B5A2E" w:rsidRDefault="00E72EA7" w:rsidP="00E74944">
            <w:pPr>
              <w:jc w:val="center"/>
              <w:rPr>
                <w:b/>
              </w:rPr>
            </w:pPr>
            <w:proofErr w:type="spellStart"/>
            <w:r w:rsidRPr="000B5A2E">
              <w:rPr>
                <w:b/>
              </w:rPr>
              <w:t>Direct</w:t>
            </w:r>
            <w:proofErr w:type="spellEnd"/>
          </w:p>
        </w:tc>
        <w:tc>
          <w:tcPr>
            <w:tcW w:w="1241" w:type="dxa"/>
          </w:tcPr>
          <w:p w:rsidR="00E72EA7" w:rsidRPr="000B5A2E" w:rsidRDefault="0059612B" w:rsidP="00E74944">
            <w:pPr>
              <w:jc w:val="center"/>
              <w:rPr>
                <w:b/>
              </w:rPr>
            </w:pPr>
            <w:r>
              <w:rPr>
                <w:b/>
              </w:rPr>
              <w:t xml:space="preserve">VB to </w:t>
            </w:r>
            <w:proofErr w:type="spellStart"/>
            <w:r>
              <w:rPr>
                <w:b/>
              </w:rPr>
              <w:t>state</w:t>
            </w:r>
            <w:proofErr w:type="spellEnd"/>
          </w:p>
        </w:tc>
        <w:tc>
          <w:tcPr>
            <w:tcW w:w="1258" w:type="dxa"/>
          </w:tcPr>
          <w:p w:rsidR="00E72EA7" w:rsidRPr="000B5A2E" w:rsidRDefault="0059612B" w:rsidP="00E74944">
            <w:pPr>
              <w:jc w:val="center"/>
              <w:rPr>
                <w:b/>
              </w:rPr>
            </w:pPr>
            <w:proofErr w:type="spellStart"/>
            <w:r>
              <w:rPr>
                <w:b/>
              </w:rPr>
              <w:t>State</w:t>
            </w:r>
            <w:proofErr w:type="spellEnd"/>
            <w:r>
              <w:rPr>
                <w:b/>
              </w:rPr>
              <w:t xml:space="preserve"> to CB</w:t>
            </w:r>
          </w:p>
        </w:tc>
      </w:tr>
      <w:tr w:rsidR="00E72EA7" w:rsidTr="0059612B">
        <w:trPr>
          <w:jc w:val="center"/>
        </w:trPr>
        <w:tc>
          <w:tcPr>
            <w:tcW w:w="2235" w:type="dxa"/>
          </w:tcPr>
          <w:p w:rsidR="00E72EA7" w:rsidRPr="000B5A2E" w:rsidRDefault="00E72EA7" w:rsidP="00E74944">
            <w:pPr>
              <w:jc w:val="center"/>
              <w:rPr>
                <w:b/>
                <w:vertAlign w:val="superscript"/>
              </w:rPr>
            </w:pPr>
            <w:proofErr w:type="spellStart"/>
            <w:r w:rsidRPr="000B5A2E">
              <w:rPr>
                <w:b/>
              </w:rPr>
              <w:lastRenderedPageBreak/>
              <w:t>Un-GaP:Ti</w:t>
            </w:r>
            <w:proofErr w:type="spellEnd"/>
            <w:r w:rsidRPr="000B5A2E">
              <w:rPr>
                <w:b/>
              </w:rPr>
              <w:t xml:space="preserve"> 8×10</w:t>
            </w:r>
            <w:r w:rsidRPr="000B5A2E">
              <w:rPr>
                <w:b/>
                <w:vertAlign w:val="superscript"/>
              </w:rPr>
              <w:t>14</w:t>
            </w:r>
            <w:r w:rsidRPr="000B5A2E">
              <w:rPr>
                <w:b/>
              </w:rPr>
              <w:t xml:space="preserve"> cm</w:t>
            </w:r>
            <w:r w:rsidRPr="000B5A2E">
              <w:rPr>
                <w:b/>
                <w:vertAlign w:val="superscript"/>
              </w:rPr>
              <w:t>-2</w:t>
            </w:r>
          </w:p>
        </w:tc>
        <w:tc>
          <w:tcPr>
            <w:tcW w:w="923" w:type="dxa"/>
          </w:tcPr>
          <w:p w:rsidR="00E72EA7" w:rsidRPr="000B5A2E" w:rsidRDefault="00E72EA7" w:rsidP="00E74944">
            <w:pPr>
              <w:jc w:val="center"/>
            </w:pPr>
            <w:r>
              <w:t>0.9487</w:t>
            </w:r>
          </w:p>
        </w:tc>
        <w:tc>
          <w:tcPr>
            <w:tcW w:w="830" w:type="dxa"/>
          </w:tcPr>
          <w:p w:rsidR="00E72EA7" w:rsidRPr="000B5A2E" w:rsidRDefault="00E72EA7" w:rsidP="00E74944">
            <w:pPr>
              <w:jc w:val="center"/>
            </w:pPr>
            <w:r>
              <w:t>0.9143</w:t>
            </w:r>
          </w:p>
        </w:tc>
        <w:tc>
          <w:tcPr>
            <w:tcW w:w="1241" w:type="dxa"/>
          </w:tcPr>
          <w:p w:rsidR="00E72EA7" w:rsidRPr="000B5A2E" w:rsidRDefault="00E72EA7" w:rsidP="00E74944">
            <w:pPr>
              <w:jc w:val="center"/>
            </w:pPr>
            <w:r>
              <w:t>0.8283</w:t>
            </w:r>
          </w:p>
        </w:tc>
        <w:tc>
          <w:tcPr>
            <w:tcW w:w="1258" w:type="dxa"/>
          </w:tcPr>
          <w:p w:rsidR="00E72EA7" w:rsidRPr="000B5A2E" w:rsidRDefault="00E72EA7" w:rsidP="00E74944">
            <w:pPr>
              <w:jc w:val="center"/>
            </w:pPr>
            <w:r>
              <w:t>0.9755</w:t>
            </w:r>
          </w:p>
        </w:tc>
      </w:tr>
      <w:tr w:rsidR="00E72EA7" w:rsidTr="0059612B">
        <w:trPr>
          <w:jc w:val="center"/>
        </w:trPr>
        <w:tc>
          <w:tcPr>
            <w:tcW w:w="2235" w:type="dxa"/>
          </w:tcPr>
          <w:p w:rsidR="00E72EA7" w:rsidRPr="000B5A2E" w:rsidRDefault="00E72EA7" w:rsidP="00E74944">
            <w:pPr>
              <w:jc w:val="center"/>
            </w:pPr>
            <w:proofErr w:type="spellStart"/>
            <w:r>
              <w:rPr>
                <w:b/>
              </w:rPr>
              <w:t>Un-GaP:Ti</w:t>
            </w:r>
            <w:proofErr w:type="spellEnd"/>
            <w:r>
              <w:rPr>
                <w:b/>
              </w:rPr>
              <w:t xml:space="preserve"> 2</w:t>
            </w:r>
            <w:r w:rsidRPr="000B5A2E">
              <w:rPr>
                <w:b/>
              </w:rPr>
              <w:t>×10</w:t>
            </w:r>
            <w:r>
              <w:rPr>
                <w:b/>
                <w:vertAlign w:val="superscript"/>
              </w:rPr>
              <w:t>15</w:t>
            </w:r>
            <w:r w:rsidRPr="000B5A2E">
              <w:rPr>
                <w:b/>
              </w:rPr>
              <w:t xml:space="preserve"> cm</w:t>
            </w:r>
            <w:r w:rsidRPr="000B5A2E">
              <w:rPr>
                <w:b/>
                <w:vertAlign w:val="superscript"/>
              </w:rPr>
              <w:t>-2</w:t>
            </w:r>
          </w:p>
        </w:tc>
        <w:tc>
          <w:tcPr>
            <w:tcW w:w="923" w:type="dxa"/>
          </w:tcPr>
          <w:p w:rsidR="00E72EA7" w:rsidRPr="000B5A2E" w:rsidRDefault="00E72EA7" w:rsidP="00E74944">
            <w:pPr>
              <w:jc w:val="center"/>
            </w:pPr>
            <w:r>
              <w:t>0.9881</w:t>
            </w:r>
          </w:p>
        </w:tc>
        <w:tc>
          <w:tcPr>
            <w:tcW w:w="830" w:type="dxa"/>
          </w:tcPr>
          <w:p w:rsidR="00E72EA7" w:rsidRPr="000B5A2E" w:rsidRDefault="00E72EA7" w:rsidP="00E74944">
            <w:pPr>
              <w:jc w:val="center"/>
            </w:pPr>
            <w:r>
              <w:t>0.8210</w:t>
            </w:r>
          </w:p>
        </w:tc>
        <w:tc>
          <w:tcPr>
            <w:tcW w:w="1241" w:type="dxa"/>
          </w:tcPr>
          <w:p w:rsidR="00E72EA7" w:rsidRPr="000B5A2E" w:rsidRDefault="00E72EA7" w:rsidP="00E74944">
            <w:pPr>
              <w:jc w:val="center"/>
            </w:pPr>
            <w:r>
              <w:t>0.7008</w:t>
            </w:r>
          </w:p>
        </w:tc>
        <w:tc>
          <w:tcPr>
            <w:tcW w:w="1258" w:type="dxa"/>
          </w:tcPr>
          <w:p w:rsidR="00E72EA7" w:rsidRPr="000B5A2E" w:rsidRDefault="00E72EA7" w:rsidP="00E74944">
            <w:pPr>
              <w:jc w:val="center"/>
            </w:pPr>
            <w:r>
              <w:t>0.9608</w:t>
            </w:r>
          </w:p>
        </w:tc>
      </w:tr>
      <w:tr w:rsidR="00E72EA7" w:rsidTr="0059612B">
        <w:trPr>
          <w:jc w:val="center"/>
        </w:trPr>
        <w:tc>
          <w:tcPr>
            <w:tcW w:w="2235" w:type="dxa"/>
          </w:tcPr>
          <w:p w:rsidR="00E72EA7" w:rsidRPr="000B5A2E" w:rsidRDefault="00E72EA7" w:rsidP="00E74944">
            <w:pPr>
              <w:jc w:val="center"/>
              <w:rPr>
                <w:b/>
                <w:vertAlign w:val="superscript"/>
              </w:rPr>
            </w:pPr>
            <w:proofErr w:type="spellStart"/>
            <w:r>
              <w:rPr>
                <w:b/>
              </w:rPr>
              <w:t>SI</w:t>
            </w:r>
            <w:r w:rsidRPr="000B5A2E">
              <w:rPr>
                <w:b/>
              </w:rPr>
              <w:t>-GaP:Ti</w:t>
            </w:r>
            <w:proofErr w:type="spellEnd"/>
            <w:r w:rsidRPr="000B5A2E">
              <w:rPr>
                <w:b/>
              </w:rPr>
              <w:t xml:space="preserve"> 8×10</w:t>
            </w:r>
            <w:r w:rsidRPr="000B5A2E">
              <w:rPr>
                <w:b/>
                <w:vertAlign w:val="superscript"/>
              </w:rPr>
              <w:t>14</w:t>
            </w:r>
            <w:r w:rsidRPr="000B5A2E">
              <w:rPr>
                <w:b/>
              </w:rPr>
              <w:t xml:space="preserve"> cm</w:t>
            </w:r>
            <w:r w:rsidRPr="000B5A2E">
              <w:rPr>
                <w:b/>
                <w:vertAlign w:val="superscript"/>
              </w:rPr>
              <w:t>-2</w:t>
            </w:r>
          </w:p>
        </w:tc>
        <w:tc>
          <w:tcPr>
            <w:tcW w:w="923" w:type="dxa"/>
          </w:tcPr>
          <w:p w:rsidR="00E72EA7" w:rsidRPr="000B5A2E" w:rsidRDefault="00E72EA7" w:rsidP="00E74944">
            <w:pPr>
              <w:jc w:val="center"/>
            </w:pPr>
            <w:r>
              <w:t>0.9843</w:t>
            </w:r>
          </w:p>
        </w:tc>
        <w:tc>
          <w:tcPr>
            <w:tcW w:w="830" w:type="dxa"/>
          </w:tcPr>
          <w:p w:rsidR="00E72EA7" w:rsidRPr="000B5A2E" w:rsidRDefault="00E72EA7" w:rsidP="00E74944">
            <w:pPr>
              <w:jc w:val="center"/>
            </w:pPr>
            <w:r>
              <w:t>0.5462</w:t>
            </w:r>
          </w:p>
        </w:tc>
        <w:tc>
          <w:tcPr>
            <w:tcW w:w="1241" w:type="dxa"/>
          </w:tcPr>
          <w:p w:rsidR="00E72EA7" w:rsidRPr="000B5A2E" w:rsidRDefault="00E72EA7" w:rsidP="00E74944">
            <w:pPr>
              <w:jc w:val="center"/>
            </w:pPr>
            <w:r>
              <w:t>0.4409</w:t>
            </w:r>
          </w:p>
        </w:tc>
        <w:tc>
          <w:tcPr>
            <w:tcW w:w="1258" w:type="dxa"/>
          </w:tcPr>
          <w:p w:rsidR="00E72EA7" w:rsidRPr="000B5A2E" w:rsidRDefault="00E72EA7" w:rsidP="00E74944">
            <w:pPr>
              <w:jc w:val="center"/>
            </w:pPr>
            <w:r>
              <w:t>0.8934</w:t>
            </w:r>
          </w:p>
        </w:tc>
      </w:tr>
      <w:tr w:rsidR="00E72EA7" w:rsidTr="0059612B">
        <w:trPr>
          <w:jc w:val="center"/>
        </w:trPr>
        <w:tc>
          <w:tcPr>
            <w:tcW w:w="2235" w:type="dxa"/>
          </w:tcPr>
          <w:p w:rsidR="00E72EA7" w:rsidRPr="000B5A2E" w:rsidRDefault="00E72EA7" w:rsidP="00E74944">
            <w:pPr>
              <w:jc w:val="center"/>
            </w:pPr>
            <w:proofErr w:type="spellStart"/>
            <w:r>
              <w:rPr>
                <w:b/>
              </w:rPr>
              <w:t>SI-GaP:Ti</w:t>
            </w:r>
            <w:proofErr w:type="spellEnd"/>
            <w:r>
              <w:rPr>
                <w:b/>
              </w:rPr>
              <w:t xml:space="preserve"> 2</w:t>
            </w:r>
            <w:r w:rsidRPr="000B5A2E">
              <w:rPr>
                <w:b/>
              </w:rPr>
              <w:t>×10</w:t>
            </w:r>
            <w:r>
              <w:rPr>
                <w:b/>
                <w:vertAlign w:val="superscript"/>
              </w:rPr>
              <w:t>15</w:t>
            </w:r>
            <w:r w:rsidRPr="000B5A2E">
              <w:rPr>
                <w:b/>
              </w:rPr>
              <w:t xml:space="preserve"> cm</w:t>
            </w:r>
            <w:r w:rsidRPr="000B5A2E">
              <w:rPr>
                <w:b/>
                <w:vertAlign w:val="superscript"/>
              </w:rPr>
              <w:t>-2</w:t>
            </w:r>
          </w:p>
        </w:tc>
        <w:tc>
          <w:tcPr>
            <w:tcW w:w="923" w:type="dxa"/>
          </w:tcPr>
          <w:p w:rsidR="00E72EA7" w:rsidRPr="00C422DC" w:rsidRDefault="00E72EA7" w:rsidP="00E74944">
            <w:pPr>
              <w:jc w:val="center"/>
            </w:pPr>
            <w:r>
              <w:t>0.9759</w:t>
            </w:r>
          </w:p>
        </w:tc>
        <w:tc>
          <w:tcPr>
            <w:tcW w:w="830" w:type="dxa"/>
          </w:tcPr>
          <w:p w:rsidR="00E72EA7" w:rsidRPr="00C422DC" w:rsidRDefault="00E72EA7" w:rsidP="00E74944">
            <w:pPr>
              <w:jc w:val="center"/>
            </w:pPr>
            <w:r>
              <w:t>0.7268</w:t>
            </w:r>
          </w:p>
        </w:tc>
        <w:tc>
          <w:tcPr>
            <w:tcW w:w="1241" w:type="dxa"/>
          </w:tcPr>
          <w:p w:rsidR="00E72EA7" w:rsidRPr="00C422DC" w:rsidRDefault="00E72EA7" w:rsidP="00E74944">
            <w:pPr>
              <w:jc w:val="center"/>
            </w:pPr>
            <w:r w:rsidRPr="00C422DC">
              <w:t>0.5932</w:t>
            </w:r>
          </w:p>
        </w:tc>
        <w:tc>
          <w:tcPr>
            <w:tcW w:w="1258" w:type="dxa"/>
          </w:tcPr>
          <w:p w:rsidR="00E72EA7" w:rsidRPr="00C422DC" w:rsidRDefault="00E72EA7" w:rsidP="00E74944">
            <w:pPr>
              <w:jc w:val="center"/>
            </w:pPr>
            <w:r>
              <w:t>0.9578</w:t>
            </w:r>
          </w:p>
        </w:tc>
      </w:tr>
    </w:tbl>
    <w:p w:rsidR="00223080" w:rsidRPr="00AA5D14" w:rsidRDefault="00223080" w:rsidP="0084317F">
      <w:pPr>
        <w:ind w:firstLine="708"/>
        <w:jc w:val="both"/>
      </w:pPr>
    </w:p>
    <w:p w:rsidR="0084317F" w:rsidRPr="00ED2D12" w:rsidRDefault="009D391E" w:rsidP="0084317F">
      <w:pPr>
        <w:jc w:val="both"/>
        <w:rPr>
          <w:lang w:val="en-US"/>
        </w:rPr>
      </w:pPr>
      <w:r>
        <w:rPr>
          <w:lang w:val="en-US"/>
        </w:rPr>
        <w:t>Figure S2</w:t>
      </w:r>
      <w:r w:rsidR="0084317F" w:rsidRPr="00657AB0">
        <w:rPr>
          <w:lang w:val="en-US"/>
        </w:rPr>
        <w:t xml:space="preserve"> shows the fits of the sheet photoconductance spectra presented </w:t>
      </w:r>
      <w:r w:rsidR="0084317F" w:rsidRPr="008A7435">
        <w:rPr>
          <w:lang w:val="en-US"/>
        </w:rPr>
        <w:t xml:space="preserve">in Fig. 2 to </w:t>
      </w:r>
      <w:r w:rsidR="0084317F">
        <w:rPr>
          <w:lang w:val="en-US"/>
        </w:rPr>
        <w:t>the equation describing tra</w:t>
      </w:r>
      <w:r>
        <w:rPr>
          <w:lang w:val="en-US"/>
        </w:rPr>
        <w:t>nsitions of an indirect bandgap.</w:t>
      </w:r>
    </w:p>
    <w:p w:rsidR="0084317F" w:rsidRDefault="0084317F" w:rsidP="0084317F">
      <w:r>
        <w:rPr>
          <w:noProof/>
          <w:lang w:eastAsia="es-ES"/>
        </w:rPr>
        <w:drawing>
          <wp:inline distT="0" distB="0" distL="0" distR="0" wp14:anchorId="53ABC542" wp14:editId="7FBB69F0">
            <wp:extent cx="2679970" cy="1923792"/>
            <wp:effectExtent l="0" t="0" r="6350" b="63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1a.tif"/>
                    <pic:cNvPicPr/>
                  </pic:nvPicPr>
                  <pic:blipFill rotWithShape="1">
                    <a:blip r:embed="rId6" cstate="print">
                      <a:extLst>
                        <a:ext uri="{28A0092B-C50C-407E-A947-70E740481C1C}">
                          <a14:useLocalDpi xmlns:a14="http://schemas.microsoft.com/office/drawing/2010/main" val="0"/>
                        </a:ext>
                      </a:extLst>
                    </a:blip>
                    <a:srcRect l="2612" t="9175" r="10912" b="3005"/>
                    <a:stretch/>
                  </pic:blipFill>
                  <pic:spPr bwMode="auto">
                    <a:xfrm>
                      <a:off x="0" y="0"/>
                      <a:ext cx="2693942" cy="1933822"/>
                    </a:xfrm>
                    <a:prstGeom prst="rect">
                      <a:avLst/>
                    </a:prstGeom>
                    <a:ln>
                      <a:noFill/>
                    </a:ln>
                    <a:extLst>
                      <a:ext uri="{53640926-AAD7-44D8-BBD7-CCE9431645EC}">
                        <a14:shadowObscured xmlns:a14="http://schemas.microsoft.com/office/drawing/2010/main"/>
                      </a:ext>
                    </a:extLst>
                  </pic:spPr>
                </pic:pic>
              </a:graphicData>
            </a:graphic>
          </wp:inline>
        </w:drawing>
      </w:r>
      <w:r w:rsidR="00A66E3F">
        <w:rPr>
          <w:noProof/>
          <w:lang w:eastAsia="es-ES"/>
        </w:rPr>
        <w:drawing>
          <wp:inline distT="0" distB="0" distL="0" distR="0">
            <wp:extent cx="2577830" cy="188892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1b.tif"/>
                    <pic:cNvPicPr/>
                  </pic:nvPicPr>
                  <pic:blipFill rotWithShape="1">
                    <a:blip r:embed="rId7" cstate="print">
                      <a:extLst>
                        <a:ext uri="{28A0092B-C50C-407E-A947-70E740481C1C}">
                          <a14:useLocalDpi xmlns:a14="http://schemas.microsoft.com/office/drawing/2010/main" val="0"/>
                        </a:ext>
                      </a:extLst>
                    </a:blip>
                    <a:srcRect l="5045" t="9430" r="10736" b="3265"/>
                    <a:stretch/>
                  </pic:blipFill>
                  <pic:spPr bwMode="auto">
                    <a:xfrm>
                      <a:off x="0" y="0"/>
                      <a:ext cx="2582452" cy="1892315"/>
                    </a:xfrm>
                    <a:prstGeom prst="rect">
                      <a:avLst/>
                    </a:prstGeom>
                    <a:ln>
                      <a:noFill/>
                    </a:ln>
                    <a:extLst>
                      <a:ext uri="{53640926-AAD7-44D8-BBD7-CCE9431645EC}">
                        <a14:shadowObscured xmlns:a14="http://schemas.microsoft.com/office/drawing/2010/main"/>
                      </a:ext>
                    </a:extLst>
                  </pic:spPr>
                </pic:pic>
              </a:graphicData>
            </a:graphic>
          </wp:inline>
        </w:drawing>
      </w:r>
    </w:p>
    <w:p w:rsidR="0084317F" w:rsidRDefault="0084317F" w:rsidP="0084317F">
      <w:r>
        <w:rPr>
          <w:noProof/>
          <w:lang w:eastAsia="es-ES"/>
        </w:rPr>
        <w:drawing>
          <wp:inline distT="0" distB="0" distL="0" distR="0" wp14:anchorId="16957716" wp14:editId="7F0649E6">
            <wp:extent cx="2678697" cy="1921212"/>
            <wp:effectExtent l="0" t="0" r="762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1c.tif"/>
                    <pic:cNvPicPr/>
                  </pic:nvPicPr>
                  <pic:blipFill rotWithShape="1">
                    <a:blip r:embed="rId8" cstate="print">
                      <a:extLst>
                        <a:ext uri="{28A0092B-C50C-407E-A947-70E740481C1C}">
                          <a14:useLocalDpi xmlns:a14="http://schemas.microsoft.com/office/drawing/2010/main" val="0"/>
                        </a:ext>
                      </a:extLst>
                    </a:blip>
                    <a:srcRect l="4954" t="10959" r="10900" b="3661"/>
                    <a:stretch/>
                  </pic:blipFill>
                  <pic:spPr bwMode="auto">
                    <a:xfrm>
                      <a:off x="0" y="0"/>
                      <a:ext cx="2690973" cy="193001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ES"/>
        </w:rPr>
        <w:drawing>
          <wp:inline distT="0" distB="0" distL="0" distR="0" wp14:anchorId="2F4E04A0" wp14:editId="5F144291">
            <wp:extent cx="2679970" cy="1957500"/>
            <wp:effectExtent l="0" t="0" r="6350" b="508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1d.tif"/>
                    <pic:cNvPicPr/>
                  </pic:nvPicPr>
                  <pic:blipFill rotWithShape="1">
                    <a:blip r:embed="rId9" cstate="print">
                      <a:extLst>
                        <a:ext uri="{28A0092B-C50C-407E-A947-70E740481C1C}">
                          <a14:useLocalDpi xmlns:a14="http://schemas.microsoft.com/office/drawing/2010/main" val="0"/>
                        </a:ext>
                      </a:extLst>
                    </a:blip>
                    <a:srcRect l="4955" t="9430" r="10819" b="3536"/>
                    <a:stretch/>
                  </pic:blipFill>
                  <pic:spPr bwMode="auto">
                    <a:xfrm>
                      <a:off x="0" y="0"/>
                      <a:ext cx="2687995" cy="1963361"/>
                    </a:xfrm>
                    <a:prstGeom prst="rect">
                      <a:avLst/>
                    </a:prstGeom>
                    <a:ln>
                      <a:noFill/>
                    </a:ln>
                    <a:extLst>
                      <a:ext uri="{53640926-AAD7-44D8-BBD7-CCE9431645EC}">
                        <a14:shadowObscured xmlns:a14="http://schemas.microsoft.com/office/drawing/2010/main"/>
                      </a:ext>
                    </a:extLst>
                  </pic:spPr>
                </pic:pic>
              </a:graphicData>
            </a:graphic>
          </wp:inline>
        </w:drawing>
      </w:r>
    </w:p>
    <w:p w:rsidR="0084317F" w:rsidRPr="009063A0" w:rsidRDefault="009D391E" w:rsidP="0084317F">
      <w:pPr>
        <w:jc w:val="both"/>
        <w:rPr>
          <w:lang w:val="en-US"/>
        </w:rPr>
      </w:pPr>
      <w:r>
        <w:rPr>
          <w:b/>
          <w:sz w:val="18"/>
          <w:szCs w:val="18"/>
          <w:lang w:val="en-US"/>
        </w:rPr>
        <w:t>Figure S2</w:t>
      </w:r>
      <w:r w:rsidR="0084317F" w:rsidRPr="002E1779">
        <w:rPr>
          <w:b/>
          <w:sz w:val="18"/>
          <w:szCs w:val="18"/>
          <w:lang w:val="en-US"/>
        </w:rPr>
        <w:t>.</w:t>
      </w:r>
      <w:r w:rsidR="0084317F" w:rsidRPr="002E1779">
        <w:rPr>
          <w:sz w:val="18"/>
          <w:szCs w:val="18"/>
          <w:lang w:val="en-US"/>
        </w:rPr>
        <w:t xml:space="preserve"> </w:t>
      </w:r>
      <w:r w:rsidR="0084317F">
        <w:rPr>
          <w:sz w:val="18"/>
          <w:szCs w:val="18"/>
          <w:lang w:val="en-US"/>
        </w:rPr>
        <w:t xml:space="preserve">Linear fits of the sheet photoconductance spectra of the four </w:t>
      </w:r>
      <w:proofErr w:type="spellStart"/>
      <w:proofErr w:type="gramStart"/>
      <w:r w:rsidR="0084317F">
        <w:rPr>
          <w:sz w:val="18"/>
          <w:szCs w:val="18"/>
          <w:lang w:val="en-US"/>
        </w:rPr>
        <w:t>GaP:Ti</w:t>
      </w:r>
      <w:proofErr w:type="spellEnd"/>
      <w:proofErr w:type="gramEnd"/>
      <w:r w:rsidR="0084317F">
        <w:rPr>
          <w:sz w:val="18"/>
          <w:szCs w:val="18"/>
          <w:lang w:val="en-US"/>
        </w:rPr>
        <w:t xml:space="preserve"> samples analyzed in the paper. The fits yield the energy of the transition corresponding to the </w:t>
      </w:r>
      <w:proofErr w:type="spellStart"/>
      <w:proofErr w:type="gramStart"/>
      <w:r w:rsidR="0084317F">
        <w:rPr>
          <w:sz w:val="18"/>
          <w:szCs w:val="18"/>
          <w:lang w:val="en-US"/>
        </w:rPr>
        <w:t>GaP:Ti</w:t>
      </w:r>
      <w:proofErr w:type="spellEnd"/>
      <w:proofErr w:type="gramEnd"/>
      <w:r w:rsidR="0084317F">
        <w:rPr>
          <w:sz w:val="18"/>
          <w:szCs w:val="18"/>
          <w:lang w:val="en-US"/>
        </w:rPr>
        <w:t xml:space="preserve"> material, as depicted in Fig. 2 Left.</w:t>
      </w:r>
    </w:p>
    <w:p w:rsidR="00AB0BBF" w:rsidRDefault="00AB0BBF" w:rsidP="0084317F">
      <w:pPr>
        <w:jc w:val="both"/>
        <w:rPr>
          <w:lang w:val="en-US"/>
        </w:rPr>
      </w:pPr>
    </w:p>
    <w:p w:rsidR="0084317F" w:rsidRPr="00B53D3E" w:rsidRDefault="009D391E" w:rsidP="0084317F">
      <w:pPr>
        <w:jc w:val="both"/>
        <w:rPr>
          <w:lang w:val="en-US"/>
        </w:rPr>
      </w:pPr>
      <w:r>
        <w:rPr>
          <w:lang w:val="en-US"/>
        </w:rPr>
        <w:t>Figure S3</w:t>
      </w:r>
      <w:r w:rsidR="0084317F" w:rsidRPr="00B53D3E">
        <w:rPr>
          <w:lang w:val="en-US"/>
        </w:rPr>
        <w:t xml:space="preserve"> shows XTEM images of an </w:t>
      </w:r>
      <w:proofErr w:type="spellStart"/>
      <w:r w:rsidR="0084317F" w:rsidRPr="00B53D3E">
        <w:rPr>
          <w:lang w:val="en-US"/>
        </w:rPr>
        <w:t>unimplanted</w:t>
      </w:r>
      <w:proofErr w:type="spellEnd"/>
      <w:r w:rsidR="0084317F" w:rsidRPr="00B53D3E">
        <w:rPr>
          <w:lang w:val="en-US"/>
        </w:rPr>
        <w:t xml:space="preserve"> SI-</w:t>
      </w:r>
      <w:proofErr w:type="spellStart"/>
      <w:r w:rsidR="0084317F" w:rsidRPr="00B53D3E">
        <w:rPr>
          <w:lang w:val="en-US"/>
        </w:rPr>
        <w:t>GaP</w:t>
      </w:r>
      <w:proofErr w:type="spellEnd"/>
      <w:r w:rsidR="0084317F" w:rsidRPr="00B53D3E">
        <w:rPr>
          <w:lang w:val="en-US"/>
        </w:rPr>
        <w:t xml:space="preserve"> </w:t>
      </w:r>
      <w:proofErr w:type="spellStart"/>
      <w:r w:rsidR="0084317F">
        <w:rPr>
          <w:lang w:val="en-US"/>
        </w:rPr>
        <w:t>substrated</w:t>
      </w:r>
      <w:proofErr w:type="spellEnd"/>
      <w:r w:rsidR="0084317F">
        <w:rPr>
          <w:lang w:val="en-US"/>
        </w:rPr>
        <w:t xml:space="preserve"> PLM processed. As it can be seen the crystalline “bubble” has the same grown direction of the substrate, and the surface of the sample can be pe</w:t>
      </w:r>
      <w:r w:rsidR="00176575">
        <w:rPr>
          <w:lang w:val="en-US"/>
        </w:rPr>
        <w:t>rceived (Left image). In Fig. S3</w:t>
      </w:r>
      <w:r w:rsidR="0084317F">
        <w:rPr>
          <w:lang w:val="en-US"/>
        </w:rPr>
        <w:t xml:space="preserve"> Right a detail of the passivating amorphous layer is shown, and no extended defect are present.</w:t>
      </w:r>
    </w:p>
    <w:p w:rsidR="0084317F" w:rsidRPr="00B23D96" w:rsidRDefault="0084317F" w:rsidP="0084317F">
      <w:pPr>
        <w:jc w:val="center"/>
        <w:rPr>
          <w:noProof/>
          <w:lang w:val="en-US" w:eastAsia="es-ES"/>
        </w:rPr>
      </w:pPr>
      <w:r>
        <w:rPr>
          <w:noProof/>
          <w:lang w:eastAsia="es-ES"/>
        </w:rPr>
        <w:lastRenderedPageBreak/>
        <w:drawing>
          <wp:inline distT="0" distB="0" distL="0" distR="0" wp14:anchorId="274AA9B7" wp14:editId="765DA0AD">
            <wp:extent cx="2651720" cy="265172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I-GaP+PLM SM1.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61599" cy="2661599"/>
                    </a:xfrm>
                    <a:prstGeom prst="rect">
                      <a:avLst/>
                    </a:prstGeom>
                  </pic:spPr>
                </pic:pic>
              </a:graphicData>
            </a:graphic>
          </wp:inline>
        </w:drawing>
      </w:r>
      <w:r>
        <w:rPr>
          <w:noProof/>
          <w:lang w:val="en-US" w:eastAsia="es-ES"/>
        </w:rPr>
        <w:t xml:space="preserve">  </w:t>
      </w:r>
      <w:r>
        <w:rPr>
          <w:noProof/>
          <w:lang w:eastAsia="es-ES"/>
        </w:rPr>
        <w:drawing>
          <wp:inline distT="0" distB="0" distL="0" distR="0" wp14:anchorId="00EA0CD4" wp14:editId="2DFADDC9">
            <wp:extent cx="2641924" cy="2641924"/>
            <wp:effectExtent l="0" t="0" r="635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I-GaP+PLM SM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68710" cy="2668710"/>
                    </a:xfrm>
                    <a:prstGeom prst="rect">
                      <a:avLst/>
                    </a:prstGeom>
                  </pic:spPr>
                </pic:pic>
              </a:graphicData>
            </a:graphic>
          </wp:inline>
        </w:drawing>
      </w:r>
    </w:p>
    <w:p w:rsidR="0084317F" w:rsidRPr="00B23D96" w:rsidRDefault="0084317F" w:rsidP="0084317F">
      <w:pPr>
        <w:jc w:val="both"/>
        <w:rPr>
          <w:lang w:val="en-US"/>
        </w:rPr>
      </w:pPr>
      <w:r w:rsidRPr="002E1779">
        <w:rPr>
          <w:b/>
          <w:sz w:val="18"/>
          <w:szCs w:val="18"/>
          <w:lang w:val="en-US"/>
        </w:rPr>
        <w:t>Figure S</w:t>
      </w:r>
      <w:r w:rsidR="009D391E">
        <w:rPr>
          <w:b/>
          <w:sz w:val="18"/>
          <w:szCs w:val="18"/>
          <w:lang w:val="en-US"/>
        </w:rPr>
        <w:t>3</w:t>
      </w:r>
      <w:r w:rsidRPr="002E1779">
        <w:rPr>
          <w:b/>
          <w:sz w:val="18"/>
          <w:szCs w:val="18"/>
          <w:lang w:val="en-US"/>
        </w:rPr>
        <w:t>.</w:t>
      </w:r>
      <w:r>
        <w:rPr>
          <w:sz w:val="18"/>
          <w:szCs w:val="18"/>
          <w:lang w:val="en-US"/>
        </w:rPr>
        <w:t xml:space="preserve"> XTEM images of an </w:t>
      </w:r>
      <w:proofErr w:type="spellStart"/>
      <w:r>
        <w:rPr>
          <w:sz w:val="18"/>
          <w:szCs w:val="18"/>
          <w:lang w:val="en-US"/>
        </w:rPr>
        <w:t>unimplanted</w:t>
      </w:r>
      <w:proofErr w:type="spellEnd"/>
      <w:r>
        <w:rPr>
          <w:sz w:val="18"/>
          <w:szCs w:val="18"/>
          <w:lang w:val="en-US"/>
        </w:rPr>
        <w:t xml:space="preserve"> SI-</w:t>
      </w:r>
      <w:proofErr w:type="spellStart"/>
      <w:r>
        <w:rPr>
          <w:sz w:val="18"/>
          <w:szCs w:val="18"/>
          <w:lang w:val="en-US"/>
        </w:rPr>
        <w:t>GaP</w:t>
      </w:r>
      <w:proofErr w:type="spellEnd"/>
      <w:r>
        <w:rPr>
          <w:sz w:val="18"/>
          <w:szCs w:val="18"/>
          <w:lang w:val="en-US"/>
        </w:rPr>
        <w:t xml:space="preserve"> sample PLM processed.</w:t>
      </w:r>
    </w:p>
    <w:p w:rsidR="003900BC" w:rsidRDefault="003900BC">
      <w:pPr>
        <w:spacing w:after="200" w:line="276" w:lineRule="auto"/>
        <w:rPr>
          <w:lang w:val="en-US"/>
        </w:rPr>
      </w:pPr>
      <w:r>
        <w:rPr>
          <w:lang w:val="en-US"/>
        </w:rPr>
        <w:br w:type="page"/>
      </w:r>
    </w:p>
    <w:p w:rsidR="0084317F" w:rsidRPr="0064237B" w:rsidRDefault="0084317F" w:rsidP="0084317F">
      <w:pPr>
        <w:jc w:val="both"/>
        <w:rPr>
          <w:lang w:val="en-US"/>
        </w:rPr>
      </w:pPr>
      <w:r>
        <w:rPr>
          <w:lang w:val="en-US"/>
        </w:rPr>
        <w:lastRenderedPageBreak/>
        <w:t>I</w:t>
      </w:r>
      <w:r w:rsidRPr="0064237B">
        <w:rPr>
          <w:lang w:val="en-US"/>
        </w:rPr>
        <w:t xml:space="preserve">n Fig. </w:t>
      </w:r>
      <w:r w:rsidR="00EF76DC">
        <w:rPr>
          <w:lang w:val="en-US"/>
        </w:rPr>
        <w:t>S4</w:t>
      </w:r>
      <w:r w:rsidRPr="0064237B">
        <w:rPr>
          <w:lang w:val="en-US"/>
        </w:rPr>
        <w:t xml:space="preserve"> we show XTEM images of </w:t>
      </w:r>
      <w:proofErr w:type="spellStart"/>
      <w:r w:rsidRPr="0064237B">
        <w:rPr>
          <w:lang w:val="en-US"/>
        </w:rPr>
        <w:t>SI-</w:t>
      </w:r>
      <w:proofErr w:type="gramStart"/>
      <w:r w:rsidRPr="0064237B">
        <w:rPr>
          <w:lang w:val="en-US"/>
        </w:rPr>
        <w:t>GaP:Ti</w:t>
      </w:r>
      <w:proofErr w:type="spellEnd"/>
      <w:proofErr w:type="gramEnd"/>
      <w:r w:rsidRPr="0064237B">
        <w:rPr>
          <w:lang w:val="en-US"/>
        </w:rPr>
        <w:t xml:space="preserve"> samples PLM processed. </w:t>
      </w:r>
      <w:r>
        <w:rPr>
          <w:lang w:val="en-US"/>
        </w:rPr>
        <w:t>In both images the stacking faults with twins, a “bubble” and the passivating layer can be observed. The sample with the highest dose (Right) is more defective. Also the “bubble” presents a “volcano” structure that could be an indication of cellular breakdown, but a deeper analysis is mandatory to confirm this hypothesis.</w:t>
      </w:r>
    </w:p>
    <w:p w:rsidR="0084317F" w:rsidRDefault="0084317F" w:rsidP="003900BC">
      <w:pPr>
        <w:spacing w:after="0"/>
        <w:jc w:val="center"/>
        <w:rPr>
          <w:noProof/>
          <w:lang w:val="en-US" w:eastAsia="es-ES"/>
        </w:rPr>
      </w:pPr>
      <w:r>
        <w:rPr>
          <w:noProof/>
          <w:lang w:eastAsia="es-ES"/>
        </w:rPr>
        <w:drawing>
          <wp:inline distT="0" distB="0" distL="0" distR="0" wp14:anchorId="0C1B276A" wp14:editId="08C3BFC0">
            <wp:extent cx="2670581" cy="2670581"/>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GP1 S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86065" cy="2686065"/>
                    </a:xfrm>
                    <a:prstGeom prst="rect">
                      <a:avLst/>
                    </a:prstGeom>
                  </pic:spPr>
                </pic:pic>
              </a:graphicData>
            </a:graphic>
          </wp:inline>
        </w:drawing>
      </w:r>
      <w:r>
        <w:rPr>
          <w:noProof/>
          <w:lang w:val="en-US" w:eastAsia="es-ES"/>
        </w:rPr>
        <w:t xml:space="preserve"> </w:t>
      </w:r>
      <w:r>
        <w:rPr>
          <w:noProof/>
          <w:lang w:eastAsia="es-ES"/>
        </w:rPr>
        <w:drawing>
          <wp:inline distT="0" distB="0" distL="0" distR="0" wp14:anchorId="589FE75A" wp14:editId="097B4B8A">
            <wp:extent cx="2670783" cy="2670783"/>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TGP3 S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7651" cy="2677651"/>
                    </a:xfrm>
                    <a:prstGeom prst="rect">
                      <a:avLst/>
                    </a:prstGeom>
                  </pic:spPr>
                </pic:pic>
              </a:graphicData>
            </a:graphic>
          </wp:inline>
        </w:drawing>
      </w:r>
    </w:p>
    <w:p w:rsidR="003900BC" w:rsidRPr="00E53B2F" w:rsidRDefault="003900BC" w:rsidP="0084317F">
      <w:pPr>
        <w:jc w:val="center"/>
        <w:rPr>
          <w:lang w:val="en-US"/>
        </w:rPr>
      </w:pPr>
      <w:r>
        <w:rPr>
          <w:noProof/>
          <w:lang w:eastAsia="es-ES"/>
        </w:rPr>
        <w:drawing>
          <wp:inline distT="0" distB="0" distL="0" distR="0">
            <wp:extent cx="2671200" cy="267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GP3-500000X-0009.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71200" cy="2671200"/>
                    </a:xfrm>
                    <a:prstGeom prst="rect">
                      <a:avLst/>
                    </a:prstGeom>
                  </pic:spPr>
                </pic:pic>
              </a:graphicData>
            </a:graphic>
          </wp:inline>
        </w:drawing>
      </w:r>
      <w:r>
        <w:rPr>
          <w:lang w:val="en-US"/>
        </w:rPr>
        <w:t xml:space="preserve"> </w:t>
      </w:r>
      <w:r>
        <w:rPr>
          <w:noProof/>
          <w:lang w:eastAsia="es-ES"/>
        </w:rPr>
        <w:drawing>
          <wp:inline distT="0" distB="0" distL="0" distR="0">
            <wp:extent cx="2671200" cy="2671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GP3-500000X-0010.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71200" cy="2671200"/>
                    </a:xfrm>
                    <a:prstGeom prst="rect">
                      <a:avLst/>
                    </a:prstGeom>
                  </pic:spPr>
                </pic:pic>
              </a:graphicData>
            </a:graphic>
          </wp:inline>
        </w:drawing>
      </w:r>
    </w:p>
    <w:p w:rsidR="0084317F" w:rsidRPr="00ED2D12" w:rsidRDefault="009D391E" w:rsidP="0084317F">
      <w:pPr>
        <w:jc w:val="both"/>
        <w:rPr>
          <w:lang w:val="en-US"/>
        </w:rPr>
      </w:pPr>
      <w:r>
        <w:rPr>
          <w:b/>
          <w:sz w:val="18"/>
          <w:szCs w:val="18"/>
          <w:lang w:val="en-US"/>
        </w:rPr>
        <w:t>Figure S4</w:t>
      </w:r>
      <w:r w:rsidR="0084317F" w:rsidRPr="00A82344">
        <w:rPr>
          <w:b/>
          <w:sz w:val="18"/>
          <w:szCs w:val="18"/>
          <w:lang w:val="en-US"/>
        </w:rPr>
        <w:t>.</w:t>
      </w:r>
      <w:r w:rsidR="0084317F" w:rsidRPr="00A82344">
        <w:rPr>
          <w:sz w:val="18"/>
          <w:szCs w:val="18"/>
          <w:lang w:val="en-US"/>
        </w:rPr>
        <w:t xml:space="preserve"> </w:t>
      </w:r>
      <w:r w:rsidR="0084317F" w:rsidRPr="0064237B">
        <w:rPr>
          <w:sz w:val="18"/>
          <w:szCs w:val="18"/>
          <w:lang w:val="en-US"/>
        </w:rPr>
        <w:t xml:space="preserve">XTEM images of two </w:t>
      </w:r>
      <w:proofErr w:type="spellStart"/>
      <w:r w:rsidR="0084317F" w:rsidRPr="0064237B">
        <w:rPr>
          <w:sz w:val="18"/>
          <w:szCs w:val="18"/>
          <w:lang w:val="en-US"/>
        </w:rPr>
        <w:t>SI-</w:t>
      </w:r>
      <w:proofErr w:type="gramStart"/>
      <w:r w:rsidR="0084317F" w:rsidRPr="0064237B">
        <w:rPr>
          <w:sz w:val="18"/>
          <w:szCs w:val="18"/>
          <w:lang w:val="en-US"/>
        </w:rPr>
        <w:t>GaP:Ti</w:t>
      </w:r>
      <w:proofErr w:type="spellEnd"/>
      <w:proofErr w:type="gramEnd"/>
      <w:r w:rsidR="0084317F" w:rsidRPr="0064237B">
        <w:rPr>
          <w:sz w:val="18"/>
          <w:szCs w:val="18"/>
          <w:lang w:val="en-US"/>
        </w:rPr>
        <w:t xml:space="preserve"> </w:t>
      </w:r>
      <w:r w:rsidR="0084317F">
        <w:rPr>
          <w:sz w:val="18"/>
          <w:szCs w:val="18"/>
          <w:lang w:val="en-US"/>
        </w:rPr>
        <w:t>samples PLM processed. The doses are 8×10</w:t>
      </w:r>
      <w:r w:rsidR="0084317F">
        <w:rPr>
          <w:sz w:val="18"/>
          <w:szCs w:val="18"/>
          <w:vertAlign w:val="superscript"/>
          <w:lang w:val="en-US"/>
        </w:rPr>
        <w:t>14</w:t>
      </w:r>
      <w:r w:rsidR="0084317F">
        <w:rPr>
          <w:sz w:val="18"/>
          <w:szCs w:val="18"/>
          <w:lang w:val="en-US"/>
        </w:rPr>
        <w:t xml:space="preserve"> cm</w:t>
      </w:r>
      <w:r w:rsidR="0084317F">
        <w:rPr>
          <w:sz w:val="18"/>
          <w:szCs w:val="18"/>
          <w:vertAlign w:val="superscript"/>
          <w:lang w:val="en-US"/>
        </w:rPr>
        <w:t>-2</w:t>
      </w:r>
      <w:r w:rsidR="0084317F">
        <w:rPr>
          <w:sz w:val="18"/>
          <w:szCs w:val="18"/>
          <w:lang w:val="en-US"/>
        </w:rPr>
        <w:t xml:space="preserve"> (</w:t>
      </w:r>
      <w:r w:rsidR="003900BC">
        <w:rPr>
          <w:sz w:val="18"/>
          <w:szCs w:val="18"/>
          <w:lang w:val="en-US"/>
        </w:rPr>
        <w:t>top-l</w:t>
      </w:r>
      <w:r w:rsidR="0084317F">
        <w:rPr>
          <w:sz w:val="18"/>
          <w:szCs w:val="18"/>
          <w:lang w:val="en-US"/>
        </w:rPr>
        <w:t>eft) and 2×10</w:t>
      </w:r>
      <w:r w:rsidR="0084317F">
        <w:rPr>
          <w:sz w:val="18"/>
          <w:szCs w:val="18"/>
          <w:vertAlign w:val="superscript"/>
          <w:lang w:val="en-US"/>
        </w:rPr>
        <w:t>15</w:t>
      </w:r>
      <w:r w:rsidR="0084317F">
        <w:rPr>
          <w:sz w:val="18"/>
          <w:szCs w:val="18"/>
          <w:lang w:val="en-US"/>
        </w:rPr>
        <w:t xml:space="preserve"> cm</w:t>
      </w:r>
      <w:r w:rsidR="0084317F">
        <w:rPr>
          <w:sz w:val="18"/>
          <w:szCs w:val="18"/>
          <w:vertAlign w:val="superscript"/>
          <w:lang w:val="en-US"/>
        </w:rPr>
        <w:t>-2</w:t>
      </w:r>
      <w:r w:rsidR="0084317F">
        <w:rPr>
          <w:sz w:val="18"/>
          <w:szCs w:val="18"/>
          <w:lang w:val="en-US"/>
        </w:rPr>
        <w:t xml:space="preserve"> (</w:t>
      </w:r>
      <w:r w:rsidR="003900BC">
        <w:rPr>
          <w:sz w:val="18"/>
          <w:szCs w:val="18"/>
          <w:lang w:val="en-US"/>
        </w:rPr>
        <w:t>top-r</w:t>
      </w:r>
      <w:r w:rsidR="0084317F">
        <w:rPr>
          <w:sz w:val="18"/>
          <w:szCs w:val="18"/>
          <w:lang w:val="en-US"/>
        </w:rPr>
        <w:t xml:space="preserve">ight). </w:t>
      </w:r>
      <w:r w:rsidR="003900BC">
        <w:rPr>
          <w:sz w:val="18"/>
          <w:szCs w:val="18"/>
          <w:lang w:val="en-US"/>
        </w:rPr>
        <w:t>The bottom images are a magnification of the features in the top-right image</w:t>
      </w:r>
      <w:r w:rsidR="0084317F" w:rsidRPr="00ED2D12">
        <w:rPr>
          <w:sz w:val="18"/>
          <w:szCs w:val="18"/>
          <w:lang w:val="en-US"/>
        </w:rPr>
        <w:t>.</w:t>
      </w:r>
    </w:p>
    <w:p w:rsidR="0084317F" w:rsidRPr="00ED2D12" w:rsidRDefault="00EF76DC" w:rsidP="0084317F">
      <w:pPr>
        <w:jc w:val="both"/>
        <w:rPr>
          <w:lang w:val="en-US"/>
        </w:rPr>
      </w:pPr>
      <w:r>
        <w:rPr>
          <w:lang w:val="en-US"/>
        </w:rPr>
        <w:t>Fig. S5</w:t>
      </w:r>
      <w:r w:rsidR="0084317F" w:rsidRPr="00ED2D12">
        <w:rPr>
          <w:lang w:val="en-US"/>
        </w:rPr>
        <w:t xml:space="preserve"> shows some </w:t>
      </w:r>
      <w:proofErr w:type="spellStart"/>
      <w:r w:rsidR="0084317F" w:rsidRPr="00ED2D12">
        <w:rPr>
          <w:lang w:val="en-US"/>
        </w:rPr>
        <w:t>ToF</w:t>
      </w:r>
      <w:proofErr w:type="spellEnd"/>
      <w:r w:rsidR="0084317F" w:rsidRPr="00ED2D12">
        <w:rPr>
          <w:lang w:val="en-US"/>
        </w:rPr>
        <w:t>-SIMS measurements that support the XEDS results about the composition of the surface passivation layer. As it can be seen, the Ga</w:t>
      </w:r>
      <w:r w:rsidR="0084317F" w:rsidRPr="00ED2D12">
        <w:rPr>
          <w:vertAlign w:val="superscript"/>
          <w:lang w:val="en-US"/>
        </w:rPr>
        <w:t>+</w:t>
      </w:r>
      <w:r w:rsidR="0084317F" w:rsidRPr="00ED2D12">
        <w:rPr>
          <w:lang w:val="en-US"/>
        </w:rPr>
        <w:t>/P</w:t>
      </w:r>
      <w:r w:rsidR="0084317F" w:rsidRPr="00ED2D12">
        <w:rPr>
          <w:vertAlign w:val="superscript"/>
          <w:lang w:val="en-US"/>
        </w:rPr>
        <w:t>+</w:t>
      </w:r>
      <w:r w:rsidR="0084317F" w:rsidRPr="00ED2D12">
        <w:rPr>
          <w:lang w:val="en-US"/>
        </w:rPr>
        <w:t xml:space="preserve"> ratio decreases at the surface for the </w:t>
      </w:r>
      <w:proofErr w:type="spellStart"/>
      <w:r w:rsidR="0084317F" w:rsidRPr="00ED2D12">
        <w:rPr>
          <w:lang w:val="en-US"/>
        </w:rPr>
        <w:t>Un-</w:t>
      </w:r>
      <w:proofErr w:type="gramStart"/>
      <w:r w:rsidR="0084317F" w:rsidRPr="00ED2D12">
        <w:rPr>
          <w:lang w:val="en-US"/>
        </w:rPr>
        <w:t>GaP:Ti</w:t>
      </w:r>
      <w:proofErr w:type="spellEnd"/>
      <w:proofErr w:type="gramEnd"/>
      <w:r w:rsidR="0084317F" w:rsidRPr="00ED2D12">
        <w:rPr>
          <w:lang w:val="en-US"/>
        </w:rPr>
        <w:t xml:space="preserve"> sample, while for the Un-</w:t>
      </w:r>
      <w:proofErr w:type="spellStart"/>
      <w:r w:rsidR="0084317F" w:rsidRPr="00ED2D12">
        <w:rPr>
          <w:lang w:val="en-US"/>
        </w:rPr>
        <w:t>GaP</w:t>
      </w:r>
      <w:proofErr w:type="spellEnd"/>
      <w:r w:rsidR="0084317F" w:rsidRPr="00ED2D12">
        <w:rPr>
          <w:lang w:val="en-US"/>
        </w:rPr>
        <w:t xml:space="preserve"> reference sample the ratio is almost constant. Consistently, the O</w:t>
      </w:r>
      <w:r w:rsidR="0084317F" w:rsidRPr="00ED2D12">
        <w:rPr>
          <w:vertAlign w:val="superscript"/>
          <w:lang w:val="en-US"/>
        </w:rPr>
        <w:t>+</w:t>
      </w:r>
      <w:r w:rsidR="0084317F" w:rsidRPr="00ED2D12">
        <w:rPr>
          <w:lang w:val="en-US"/>
        </w:rPr>
        <w:t xml:space="preserve"> signal emerges at the surface for the </w:t>
      </w:r>
      <w:proofErr w:type="spellStart"/>
      <w:r w:rsidR="0084317F" w:rsidRPr="00ED2D12">
        <w:rPr>
          <w:lang w:val="en-US"/>
        </w:rPr>
        <w:t>Un-</w:t>
      </w:r>
      <w:proofErr w:type="gramStart"/>
      <w:r w:rsidR="0084317F" w:rsidRPr="00ED2D12">
        <w:rPr>
          <w:lang w:val="en-US"/>
        </w:rPr>
        <w:t>GaP:Ti</w:t>
      </w:r>
      <w:proofErr w:type="spellEnd"/>
      <w:proofErr w:type="gramEnd"/>
      <w:r w:rsidR="0084317F" w:rsidRPr="00ED2D12">
        <w:rPr>
          <w:lang w:val="en-US"/>
        </w:rPr>
        <w:t xml:space="preserve"> sample, confirming the presence of a measurable quantity of oxygen. Since the XEDS data was obtained from </w:t>
      </w:r>
      <w:proofErr w:type="spellStart"/>
      <w:r w:rsidR="0084317F" w:rsidRPr="00ED2D12">
        <w:rPr>
          <w:lang w:val="en-US"/>
        </w:rPr>
        <w:t>unimplanted</w:t>
      </w:r>
      <w:proofErr w:type="spellEnd"/>
      <w:r w:rsidR="0084317F" w:rsidRPr="00ED2D12">
        <w:rPr>
          <w:lang w:val="en-US"/>
        </w:rPr>
        <w:t xml:space="preserve"> SI-</w:t>
      </w:r>
      <w:proofErr w:type="spellStart"/>
      <w:r w:rsidR="0084317F" w:rsidRPr="00ED2D12">
        <w:rPr>
          <w:lang w:val="en-US"/>
        </w:rPr>
        <w:t>GaP</w:t>
      </w:r>
      <w:proofErr w:type="spellEnd"/>
      <w:r w:rsidR="0084317F" w:rsidRPr="00ED2D12">
        <w:rPr>
          <w:lang w:val="en-US"/>
        </w:rPr>
        <w:t xml:space="preserve"> samples and the </w:t>
      </w:r>
      <w:proofErr w:type="spellStart"/>
      <w:r w:rsidR="0084317F" w:rsidRPr="00ED2D12">
        <w:rPr>
          <w:lang w:val="en-US"/>
        </w:rPr>
        <w:t>ToF</w:t>
      </w:r>
      <w:proofErr w:type="spellEnd"/>
      <w:r w:rsidR="0084317F" w:rsidRPr="00ED2D12">
        <w:rPr>
          <w:lang w:val="en-US"/>
        </w:rPr>
        <w:t xml:space="preserve">-SIMS data was measured on </w:t>
      </w:r>
      <w:proofErr w:type="spellStart"/>
      <w:r w:rsidR="0084317F" w:rsidRPr="00ED2D12">
        <w:rPr>
          <w:lang w:val="en-US"/>
        </w:rPr>
        <w:t>Un-</w:t>
      </w:r>
      <w:proofErr w:type="gramStart"/>
      <w:r w:rsidR="0084317F" w:rsidRPr="00ED2D12">
        <w:rPr>
          <w:lang w:val="en-US"/>
        </w:rPr>
        <w:t>GaP:Ti</w:t>
      </w:r>
      <w:proofErr w:type="spellEnd"/>
      <w:proofErr w:type="gramEnd"/>
      <w:r w:rsidR="0084317F" w:rsidRPr="00ED2D12">
        <w:rPr>
          <w:lang w:val="en-US"/>
        </w:rPr>
        <w:t xml:space="preserve"> samples, these results are independent of the type of substrate and the Ti implantation, and are originated by the PLM process. However, due to the very thin nature of the surface layer and the surface artifacts of the </w:t>
      </w:r>
      <w:proofErr w:type="spellStart"/>
      <w:r w:rsidR="0084317F" w:rsidRPr="00ED2D12">
        <w:rPr>
          <w:lang w:val="en-US"/>
        </w:rPr>
        <w:t>ToF</w:t>
      </w:r>
      <w:proofErr w:type="spellEnd"/>
      <w:r w:rsidR="0084317F" w:rsidRPr="00ED2D12">
        <w:rPr>
          <w:lang w:val="en-US"/>
        </w:rPr>
        <w:t>-SIMS technique, more dedicated experiments are needed to definitively quantify the composition of the oxide surface layer.</w:t>
      </w:r>
    </w:p>
    <w:p w:rsidR="0084317F" w:rsidRDefault="0084317F" w:rsidP="0084317F">
      <w:pPr>
        <w:jc w:val="center"/>
        <w:rPr>
          <w:lang w:val="en-US"/>
        </w:rPr>
      </w:pPr>
      <w:r>
        <w:rPr>
          <w:noProof/>
          <w:lang w:eastAsia="es-ES"/>
        </w:rPr>
        <w:lastRenderedPageBreak/>
        <w:drawing>
          <wp:inline distT="0" distB="0" distL="0" distR="0" wp14:anchorId="5A0DB536" wp14:editId="5AEDCEC7">
            <wp:extent cx="4269623" cy="3214991"/>
            <wp:effectExtent l="0" t="0" r="0" b="508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IMS lamina.tif"/>
                    <pic:cNvPicPr/>
                  </pic:nvPicPr>
                  <pic:blipFill rotWithShape="1">
                    <a:blip r:embed="rId16" cstate="print">
                      <a:extLst>
                        <a:ext uri="{28A0092B-C50C-407E-A947-70E740481C1C}">
                          <a14:useLocalDpi xmlns:a14="http://schemas.microsoft.com/office/drawing/2010/main" val="0"/>
                        </a:ext>
                      </a:extLst>
                    </a:blip>
                    <a:srcRect l="8918" t="10577" r="11996" b="5175"/>
                    <a:stretch/>
                  </pic:blipFill>
                  <pic:spPr bwMode="auto">
                    <a:xfrm>
                      <a:off x="0" y="0"/>
                      <a:ext cx="4270621" cy="3215743"/>
                    </a:xfrm>
                    <a:prstGeom prst="rect">
                      <a:avLst/>
                    </a:prstGeom>
                    <a:ln>
                      <a:noFill/>
                    </a:ln>
                    <a:extLst>
                      <a:ext uri="{53640926-AAD7-44D8-BBD7-CCE9431645EC}">
                        <a14:shadowObscured xmlns:a14="http://schemas.microsoft.com/office/drawing/2010/main"/>
                      </a:ext>
                    </a:extLst>
                  </pic:spPr>
                </pic:pic>
              </a:graphicData>
            </a:graphic>
          </wp:inline>
        </w:drawing>
      </w:r>
    </w:p>
    <w:p w:rsidR="0084317F" w:rsidRPr="00ED2D12" w:rsidRDefault="009D391E" w:rsidP="0084317F">
      <w:pPr>
        <w:jc w:val="both"/>
        <w:rPr>
          <w:lang w:val="en-US"/>
        </w:rPr>
      </w:pPr>
      <w:r>
        <w:rPr>
          <w:b/>
          <w:sz w:val="18"/>
          <w:szCs w:val="18"/>
          <w:lang w:val="en-US"/>
        </w:rPr>
        <w:t>Figure S5</w:t>
      </w:r>
      <w:r w:rsidR="0084317F" w:rsidRPr="00ED2D12">
        <w:rPr>
          <w:b/>
          <w:sz w:val="18"/>
          <w:szCs w:val="18"/>
          <w:lang w:val="en-US"/>
        </w:rPr>
        <w:t xml:space="preserve">. </w:t>
      </w:r>
      <w:proofErr w:type="spellStart"/>
      <w:r w:rsidR="0084317F" w:rsidRPr="00ED2D12">
        <w:rPr>
          <w:sz w:val="18"/>
          <w:szCs w:val="18"/>
          <w:lang w:val="en-US"/>
        </w:rPr>
        <w:t>ToF</w:t>
      </w:r>
      <w:proofErr w:type="spellEnd"/>
      <w:r w:rsidR="0084317F" w:rsidRPr="00ED2D12">
        <w:rPr>
          <w:sz w:val="18"/>
          <w:szCs w:val="18"/>
          <w:lang w:val="en-US"/>
        </w:rPr>
        <w:t>-SIMS signals obtained for Ga</w:t>
      </w:r>
      <w:r w:rsidR="0084317F" w:rsidRPr="00ED2D12">
        <w:rPr>
          <w:sz w:val="18"/>
          <w:szCs w:val="18"/>
          <w:vertAlign w:val="superscript"/>
          <w:lang w:val="en-US"/>
        </w:rPr>
        <w:t>+</w:t>
      </w:r>
      <w:r w:rsidR="0084317F" w:rsidRPr="00ED2D12">
        <w:rPr>
          <w:sz w:val="18"/>
          <w:szCs w:val="18"/>
          <w:lang w:val="en-US"/>
        </w:rPr>
        <w:t xml:space="preserve"> and P</w:t>
      </w:r>
      <w:r w:rsidR="0084317F" w:rsidRPr="00ED2D12">
        <w:rPr>
          <w:sz w:val="18"/>
          <w:szCs w:val="18"/>
          <w:vertAlign w:val="superscript"/>
          <w:lang w:val="en-US"/>
        </w:rPr>
        <w:t>+</w:t>
      </w:r>
      <w:r w:rsidR="0084317F" w:rsidRPr="00ED2D12">
        <w:rPr>
          <w:sz w:val="18"/>
          <w:szCs w:val="18"/>
          <w:lang w:val="en-US"/>
        </w:rPr>
        <w:t xml:space="preserve"> (combined in the Ga</w:t>
      </w:r>
      <w:r w:rsidR="0084317F" w:rsidRPr="00ED2D12">
        <w:rPr>
          <w:sz w:val="18"/>
          <w:szCs w:val="18"/>
          <w:vertAlign w:val="superscript"/>
          <w:lang w:val="en-US"/>
        </w:rPr>
        <w:t>+</w:t>
      </w:r>
      <w:r w:rsidR="0084317F" w:rsidRPr="00ED2D12">
        <w:rPr>
          <w:sz w:val="18"/>
          <w:szCs w:val="18"/>
          <w:lang w:val="en-US"/>
        </w:rPr>
        <w:t>/P</w:t>
      </w:r>
      <w:r w:rsidR="0084317F" w:rsidRPr="00ED2D12">
        <w:rPr>
          <w:sz w:val="18"/>
          <w:szCs w:val="18"/>
          <w:vertAlign w:val="superscript"/>
          <w:lang w:val="en-US"/>
        </w:rPr>
        <w:t>+</w:t>
      </w:r>
      <w:r w:rsidR="0084317F" w:rsidRPr="00ED2D12">
        <w:rPr>
          <w:sz w:val="18"/>
          <w:szCs w:val="18"/>
          <w:lang w:val="en-US"/>
        </w:rPr>
        <w:t xml:space="preserve"> ratio), and O</w:t>
      </w:r>
      <w:r w:rsidR="0084317F" w:rsidRPr="00ED2D12">
        <w:rPr>
          <w:sz w:val="18"/>
          <w:szCs w:val="18"/>
          <w:vertAlign w:val="superscript"/>
          <w:lang w:val="en-US"/>
        </w:rPr>
        <w:t>+</w:t>
      </w:r>
      <w:r w:rsidR="0084317F" w:rsidRPr="00ED2D12">
        <w:rPr>
          <w:sz w:val="18"/>
          <w:szCs w:val="18"/>
          <w:lang w:val="en-US"/>
        </w:rPr>
        <w:t xml:space="preserve"> measurements. The experimental details can be obtained in Ref. </w:t>
      </w:r>
      <w:r w:rsidR="0084317F" w:rsidRPr="00ED2D12">
        <w:rPr>
          <w:sz w:val="18"/>
          <w:szCs w:val="18"/>
          <w:lang w:val="en-US"/>
        </w:rPr>
        <w:fldChar w:fldCharType="begin"/>
      </w:r>
      <w:r w:rsidR="0084317F" w:rsidRPr="00ED2D12">
        <w:rPr>
          <w:sz w:val="18"/>
          <w:szCs w:val="18"/>
          <w:lang w:val="en-US"/>
        </w:rPr>
        <w:instrText xml:space="preserve"> NOTEREF _Ref530236987 \h  \* MERGEFORMAT </w:instrText>
      </w:r>
      <w:r w:rsidR="0084317F" w:rsidRPr="00ED2D12">
        <w:rPr>
          <w:sz w:val="18"/>
          <w:szCs w:val="18"/>
          <w:lang w:val="en-US"/>
        </w:rPr>
      </w:r>
      <w:r w:rsidR="0084317F" w:rsidRPr="00ED2D12">
        <w:rPr>
          <w:sz w:val="18"/>
          <w:szCs w:val="18"/>
          <w:lang w:val="en-US"/>
        </w:rPr>
        <w:fldChar w:fldCharType="separate"/>
      </w:r>
      <w:r w:rsidR="002054CB" w:rsidRPr="006E25D9">
        <w:rPr>
          <w:b/>
          <w:bCs/>
          <w:sz w:val="18"/>
          <w:szCs w:val="18"/>
          <w:lang w:val="en-US"/>
        </w:rPr>
        <w:t xml:space="preserve">¡Error! </w:t>
      </w:r>
      <w:proofErr w:type="spellStart"/>
      <w:r w:rsidR="002054CB" w:rsidRPr="000720A5">
        <w:rPr>
          <w:b/>
          <w:bCs/>
          <w:sz w:val="18"/>
          <w:szCs w:val="18"/>
          <w:lang w:val="en-US"/>
        </w:rPr>
        <w:t>Marcador</w:t>
      </w:r>
      <w:proofErr w:type="spellEnd"/>
      <w:r w:rsidR="002054CB" w:rsidRPr="000720A5">
        <w:rPr>
          <w:b/>
          <w:bCs/>
          <w:sz w:val="18"/>
          <w:szCs w:val="18"/>
          <w:lang w:val="en-US"/>
        </w:rPr>
        <w:t xml:space="preserve"> no </w:t>
      </w:r>
      <w:proofErr w:type="spellStart"/>
      <w:r w:rsidR="002054CB" w:rsidRPr="000720A5">
        <w:rPr>
          <w:b/>
          <w:bCs/>
          <w:sz w:val="18"/>
          <w:szCs w:val="18"/>
          <w:lang w:val="en-US"/>
        </w:rPr>
        <w:t>definido</w:t>
      </w:r>
      <w:proofErr w:type="spellEnd"/>
      <w:r w:rsidR="002054CB" w:rsidRPr="000720A5">
        <w:rPr>
          <w:b/>
          <w:bCs/>
          <w:sz w:val="18"/>
          <w:szCs w:val="18"/>
          <w:lang w:val="en-US"/>
        </w:rPr>
        <w:t>.</w:t>
      </w:r>
      <w:r w:rsidR="0084317F" w:rsidRPr="00ED2D12">
        <w:rPr>
          <w:sz w:val="18"/>
          <w:szCs w:val="18"/>
          <w:lang w:val="en-US"/>
        </w:rPr>
        <w:fldChar w:fldCharType="end"/>
      </w:r>
      <w:r w:rsidR="0084317F" w:rsidRPr="00ED2D12">
        <w:rPr>
          <w:sz w:val="18"/>
          <w:szCs w:val="18"/>
          <w:lang w:val="en-US"/>
        </w:rPr>
        <w:t xml:space="preserve"> of the manuscript. Blue plots are for an Un-</w:t>
      </w:r>
      <w:proofErr w:type="spellStart"/>
      <w:r w:rsidR="0084317F" w:rsidRPr="00ED2D12">
        <w:rPr>
          <w:sz w:val="18"/>
          <w:szCs w:val="18"/>
          <w:lang w:val="en-US"/>
        </w:rPr>
        <w:t>GaP</w:t>
      </w:r>
      <w:proofErr w:type="spellEnd"/>
      <w:r w:rsidR="0084317F" w:rsidRPr="00ED2D12">
        <w:rPr>
          <w:sz w:val="18"/>
          <w:szCs w:val="18"/>
          <w:lang w:val="en-US"/>
        </w:rPr>
        <w:t xml:space="preserve"> </w:t>
      </w:r>
      <w:proofErr w:type="spellStart"/>
      <w:r w:rsidR="0084317F" w:rsidRPr="00ED2D12">
        <w:rPr>
          <w:sz w:val="18"/>
          <w:szCs w:val="18"/>
          <w:lang w:val="en-US"/>
        </w:rPr>
        <w:t>unimplanted</w:t>
      </w:r>
      <w:proofErr w:type="spellEnd"/>
      <w:r w:rsidR="0084317F" w:rsidRPr="00ED2D12">
        <w:rPr>
          <w:sz w:val="18"/>
          <w:szCs w:val="18"/>
          <w:lang w:val="en-US"/>
        </w:rPr>
        <w:t xml:space="preserve"> reference sample (not PLM processed), while red plots are for an </w:t>
      </w:r>
      <w:proofErr w:type="spellStart"/>
      <w:r w:rsidR="0084317F" w:rsidRPr="00ED2D12">
        <w:rPr>
          <w:sz w:val="18"/>
          <w:szCs w:val="18"/>
          <w:lang w:val="en-US"/>
        </w:rPr>
        <w:t>Un-</w:t>
      </w:r>
      <w:proofErr w:type="gramStart"/>
      <w:r w:rsidR="0084317F" w:rsidRPr="00ED2D12">
        <w:rPr>
          <w:sz w:val="18"/>
          <w:szCs w:val="18"/>
          <w:lang w:val="en-US"/>
        </w:rPr>
        <w:t>GaP:Ti</w:t>
      </w:r>
      <w:proofErr w:type="spellEnd"/>
      <w:proofErr w:type="gramEnd"/>
      <w:r w:rsidR="0084317F" w:rsidRPr="00ED2D12">
        <w:rPr>
          <w:sz w:val="18"/>
          <w:szCs w:val="18"/>
          <w:lang w:val="en-US"/>
        </w:rPr>
        <w:t xml:space="preserve"> sample PLM processed inside the process window.</w:t>
      </w:r>
    </w:p>
    <w:p w:rsidR="0084317F" w:rsidRDefault="0084317F" w:rsidP="0084317F">
      <w:pPr>
        <w:jc w:val="both"/>
        <w:rPr>
          <w:lang w:val="en-US"/>
        </w:rPr>
      </w:pPr>
    </w:p>
    <w:p w:rsidR="000720A5" w:rsidRPr="000720A5" w:rsidRDefault="00EF76DC" w:rsidP="0084317F">
      <w:pPr>
        <w:jc w:val="both"/>
        <w:rPr>
          <w:lang w:val="en-US"/>
        </w:rPr>
      </w:pPr>
      <w:r>
        <w:rPr>
          <w:lang w:val="en-US"/>
        </w:rPr>
        <w:t>Finally, Fig. S6</w:t>
      </w:r>
      <w:r w:rsidR="0084317F" w:rsidRPr="00286083">
        <w:rPr>
          <w:lang w:val="en-US"/>
        </w:rPr>
        <w:t xml:space="preserve"> show the phas</w:t>
      </w:r>
      <w:r w:rsidR="0084317F">
        <w:rPr>
          <w:lang w:val="en-US"/>
        </w:rPr>
        <w:t xml:space="preserve">e of the </w:t>
      </w:r>
      <w:proofErr w:type="spellStart"/>
      <w:proofErr w:type="gramStart"/>
      <w:r w:rsidR="0084317F">
        <w:rPr>
          <w:lang w:val="en-US"/>
        </w:rPr>
        <w:t>GaP:Ti</w:t>
      </w:r>
      <w:proofErr w:type="spellEnd"/>
      <w:proofErr w:type="gramEnd"/>
      <w:r w:rsidR="0084317F">
        <w:rPr>
          <w:lang w:val="en-US"/>
        </w:rPr>
        <w:t xml:space="preserve"> samples analyzed in the paper. As it can be seen, for the samples showing the collapse in the photoconductivity (</w:t>
      </w:r>
      <w:proofErr w:type="spellStart"/>
      <w:r w:rsidR="0084317F">
        <w:rPr>
          <w:lang w:val="en-US"/>
        </w:rPr>
        <w:t>Un-</w:t>
      </w:r>
      <w:proofErr w:type="gramStart"/>
      <w:r w:rsidR="0084317F">
        <w:rPr>
          <w:lang w:val="en-US"/>
        </w:rPr>
        <w:t>GaP:Ti</w:t>
      </w:r>
      <w:proofErr w:type="spellEnd"/>
      <w:proofErr w:type="gramEnd"/>
      <w:r w:rsidR="0084317F">
        <w:rPr>
          <w:lang w:val="en-US"/>
        </w:rPr>
        <w:t>) there is an abrupt phase change of about 40˚, at the same wavelength of the collapse.</w:t>
      </w:r>
      <w:r w:rsidR="000720A5">
        <w:rPr>
          <w:lang w:val="en-US"/>
        </w:rPr>
        <w:t xml:space="preserve"> </w:t>
      </w:r>
      <w:r w:rsidR="000720A5" w:rsidRPr="000720A5">
        <w:rPr>
          <w:lang w:val="en-US"/>
        </w:rPr>
        <w:t>Intuitively, if positive and negative photoconductivity are shown in the same spectrum, a 180˚ change in the lock-in phase should have been measured in between. However, as pointed in [32], the phase of the measurement depends not only on this effect, but more generally on the response time of the sample. This response time would be dependent on the properties of the sample, and it does not have to be the same at all wavelengths. Measured phase corresponding to the spectra shown in Fig. 2 are included in the Supporting Information section. Only a 40˚ phase change was measured at the wavelength of the collapse, but its abrupt nature would point also to a change from negative to positive photoconductivity.</w:t>
      </w:r>
    </w:p>
    <w:p w:rsidR="0084317F" w:rsidRDefault="0084317F" w:rsidP="0084317F">
      <w:pPr>
        <w:spacing w:after="0"/>
        <w:jc w:val="center"/>
      </w:pPr>
      <w:r>
        <w:rPr>
          <w:noProof/>
          <w:lang w:eastAsia="es-ES"/>
        </w:rPr>
        <w:lastRenderedPageBreak/>
        <w:drawing>
          <wp:inline distT="0" distB="0" distL="0" distR="0" wp14:anchorId="7022934A" wp14:editId="79796668">
            <wp:extent cx="4371340" cy="31902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ases.tif"/>
                    <pic:cNvPicPr/>
                  </pic:nvPicPr>
                  <pic:blipFill rotWithShape="1">
                    <a:blip r:embed="rId17" cstate="print">
                      <a:extLst>
                        <a:ext uri="{28A0092B-C50C-407E-A947-70E740481C1C}">
                          <a14:useLocalDpi xmlns:a14="http://schemas.microsoft.com/office/drawing/2010/main" val="0"/>
                        </a:ext>
                      </a:extLst>
                    </a:blip>
                    <a:srcRect l="8376" t="11089" r="10650" b="5307"/>
                    <a:stretch/>
                  </pic:blipFill>
                  <pic:spPr bwMode="auto">
                    <a:xfrm>
                      <a:off x="0" y="0"/>
                      <a:ext cx="4372565" cy="3191154"/>
                    </a:xfrm>
                    <a:prstGeom prst="rect">
                      <a:avLst/>
                    </a:prstGeom>
                    <a:ln>
                      <a:noFill/>
                    </a:ln>
                    <a:extLst>
                      <a:ext uri="{53640926-AAD7-44D8-BBD7-CCE9431645EC}">
                        <a14:shadowObscured xmlns:a14="http://schemas.microsoft.com/office/drawing/2010/main"/>
                      </a:ext>
                    </a:extLst>
                  </pic:spPr>
                </pic:pic>
              </a:graphicData>
            </a:graphic>
          </wp:inline>
        </w:drawing>
      </w:r>
    </w:p>
    <w:p w:rsidR="00520CB7" w:rsidRPr="0084317F" w:rsidRDefault="0084317F" w:rsidP="0084317F">
      <w:pPr>
        <w:jc w:val="both"/>
        <w:rPr>
          <w:lang w:val="en-US"/>
        </w:rPr>
      </w:pPr>
      <w:r w:rsidRPr="00A82344">
        <w:rPr>
          <w:b/>
          <w:sz w:val="18"/>
          <w:szCs w:val="18"/>
          <w:lang w:val="en-US"/>
        </w:rPr>
        <w:t>Figure S</w:t>
      </w:r>
      <w:r w:rsidR="009D391E">
        <w:rPr>
          <w:b/>
          <w:sz w:val="18"/>
          <w:szCs w:val="18"/>
          <w:lang w:val="en-US"/>
        </w:rPr>
        <w:t>6</w:t>
      </w:r>
      <w:r w:rsidRPr="00A82344">
        <w:rPr>
          <w:b/>
          <w:sz w:val="18"/>
          <w:szCs w:val="18"/>
          <w:lang w:val="en-US"/>
        </w:rPr>
        <w:t>.</w:t>
      </w:r>
      <w:r>
        <w:rPr>
          <w:b/>
          <w:sz w:val="18"/>
          <w:szCs w:val="18"/>
          <w:lang w:val="en-US"/>
        </w:rPr>
        <w:t xml:space="preserve"> </w:t>
      </w:r>
      <w:r>
        <w:rPr>
          <w:sz w:val="18"/>
          <w:szCs w:val="18"/>
          <w:lang w:val="en-US"/>
        </w:rPr>
        <w:t>Measured phase obtained with the lock-in amplifier of the same samples analyzed in the paper (see Fig. 2 Left).</w:t>
      </w:r>
    </w:p>
    <w:sectPr w:rsidR="00520CB7" w:rsidRPr="0084317F">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280971"/>
    <w:multiLevelType w:val="hybridMultilevel"/>
    <w:tmpl w:val="E6665A8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991"/>
    <w:rsid w:val="000421DC"/>
    <w:rsid w:val="000720A5"/>
    <w:rsid w:val="000B5A2E"/>
    <w:rsid w:val="00176575"/>
    <w:rsid w:val="002054CB"/>
    <w:rsid w:val="00223080"/>
    <w:rsid w:val="00280D34"/>
    <w:rsid w:val="00326AF3"/>
    <w:rsid w:val="003900BC"/>
    <w:rsid w:val="003B4A49"/>
    <w:rsid w:val="003F4A2E"/>
    <w:rsid w:val="00402CF5"/>
    <w:rsid w:val="00486742"/>
    <w:rsid w:val="00557046"/>
    <w:rsid w:val="00594324"/>
    <w:rsid w:val="0059612B"/>
    <w:rsid w:val="005A185A"/>
    <w:rsid w:val="006E25D9"/>
    <w:rsid w:val="00702E9E"/>
    <w:rsid w:val="00755A81"/>
    <w:rsid w:val="0084317F"/>
    <w:rsid w:val="00895E0C"/>
    <w:rsid w:val="008A7435"/>
    <w:rsid w:val="008B2437"/>
    <w:rsid w:val="008D16C8"/>
    <w:rsid w:val="009D391E"/>
    <w:rsid w:val="00A24E92"/>
    <w:rsid w:val="00A66E3F"/>
    <w:rsid w:val="00AA5D14"/>
    <w:rsid w:val="00AB0BBF"/>
    <w:rsid w:val="00B7459C"/>
    <w:rsid w:val="00B83731"/>
    <w:rsid w:val="00C422DC"/>
    <w:rsid w:val="00C9680B"/>
    <w:rsid w:val="00CE2808"/>
    <w:rsid w:val="00DE7991"/>
    <w:rsid w:val="00E72EA7"/>
    <w:rsid w:val="00E9157F"/>
    <w:rsid w:val="00EC1A4F"/>
    <w:rsid w:val="00EC26C7"/>
    <w:rsid w:val="00EF76D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10EAA3A-8139-4A85-AC08-8B79C41B4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317F"/>
    <w:pPr>
      <w:spacing w:after="160" w:line="259"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17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4317F"/>
    <w:rPr>
      <w:rFonts w:ascii="Tahoma" w:hAnsi="Tahoma" w:cs="Tahoma"/>
      <w:sz w:val="16"/>
      <w:szCs w:val="16"/>
    </w:rPr>
  </w:style>
  <w:style w:type="table" w:styleId="Tablaconcuadrcula">
    <w:name w:val="Table Grid"/>
    <w:basedOn w:val="Tablanormal"/>
    <w:uiPriority w:val="59"/>
    <w:rsid w:val="000B5A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2230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7372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17" Type="http://schemas.openxmlformats.org/officeDocument/2006/relationships/image" Target="media/image13.tif"/><Relationship Id="rId2" Type="http://schemas.openxmlformats.org/officeDocument/2006/relationships/styles" Target="styles.xml"/><Relationship Id="rId16" Type="http://schemas.openxmlformats.org/officeDocument/2006/relationships/image" Target="media/image12.tif"/><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Relationship Id="rId15" Type="http://schemas.openxmlformats.org/officeDocument/2006/relationships/image" Target="media/image11.tiff"/><Relationship Id="rId10" Type="http://schemas.openxmlformats.org/officeDocument/2006/relationships/image" Target="media/image6.tif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1001</Words>
  <Characters>5509</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GLDM</Company>
  <LinksUpToDate>false</LinksUpToDate>
  <CharactersWithSpaces>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Olea Ariza</dc:creator>
  <cp:keywords/>
  <dc:description/>
  <cp:lastModifiedBy>biblioteca2</cp:lastModifiedBy>
  <cp:revision>2</cp:revision>
  <cp:lastPrinted>2019-06-08T15:56:00Z</cp:lastPrinted>
  <dcterms:created xsi:type="dcterms:W3CDTF">2020-11-18T08:33:00Z</dcterms:created>
  <dcterms:modified xsi:type="dcterms:W3CDTF">2020-11-18T08:33:00Z</dcterms:modified>
</cp:coreProperties>
</file>