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8B" w:rsidRPr="00270DD5" w:rsidRDefault="00433802" w:rsidP="004C531E">
      <w:pPr>
        <w:pStyle w:val="RSCM01ReceivedAccepted"/>
      </w:pPr>
      <w:bookmarkStart w:id="0" w:name="_GoBack"/>
      <w:bookmarkEnd w:id="0"/>
      <w:r>
        <w:rPr>
          <w:lang w:val="es-ES" w:eastAsia="es-ES"/>
        </w:rPr>
        <mc:AlternateContent>
          <mc:Choice Requires="wps">
            <w:drawing>
              <wp:anchor distT="180340" distB="0" distL="114300" distR="114300" simplePos="0" relativeHeight="251657728" behindDoc="1" locked="1" layoutInCell="0" allowOverlap="0">
                <wp:simplePos x="0" y="0"/>
                <wp:positionH relativeFrom="column">
                  <wp:posOffset>0</wp:posOffset>
                </wp:positionH>
                <wp:positionV relativeFrom="margin">
                  <wp:align>bottom</wp:align>
                </wp:positionV>
                <wp:extent cx="3159125" cy="1623695"/>
                <wp:effectExtent l="0" t="0" r="3175" b="5715"/>
                <wp:wrapTopAndBottom/>
                <wp:docPr id="10"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9125" cy="1623695"/>
                        </a:xfrm>
                        <a:prstGeom prst="rect">
                          <a:avLst/>
                        </a:prstGeom>
                        <a:solidFill>
                          <a:srgbClr val="FFFFFF"/>
                        </a:solidFill>
                        <a:ln w="9525">
                          <a:noFill/>
                          <a:miter lim="800000"/>
                          <a:headEnd/>
                          <a:tailEnd/>
                        </a:ln>
                      </wps:spPr>
                      <wps:txbx>
                        <w:txbxContent>
                          <w:p w:rsidR="00AC2965" w:rsidRDefault="00AC2965" w:rsidP="008F76DD">
                            <w:pPr>
                              <w:pStyle w:val="RSCF01FootnoteAuthorAddress"/>
                            </w:pPr>
                            <w:r w:rsidRPr="00F80C9C">
                              <w:rPr>
                                <w:lang w:val="es-ES"/>
                              </w:rPr>
                              <w:t xml:space="preserve">Departamento de Química Orgánica, Facultad de Química, Univ. Sevilla, C/ Prof. García González 1, E-41012 Sevilla, Spain. </w:t>
                            </w:r>
                            <w:r>
                              <w:t>E-mail: mellet@us.es.</w:t>
                            </w:r>
                          </w:p>
                          <w:p w:rsidR="00AC2965" w:rsidRDefault="00AC2965" w:rsidP="008F76DD">
                            <w:pPr>
                              <w:pStyle w:val="RSCF01FootnoteAuthorAddress"/>
                            </w:pPr>
                            <w:r w:rsidRPr="00F80C9C">
                              <w:rPr>
                                <w:lang w:val="es-ES"/>
                              </w:rPr>
                              <w:t xml:space="preserve">Instituto de Investigaciones Químicas, CSIC – Univ. Sevilla, Américo Vespucio 49, E-41092 Sevilla, Spain. </w:t>
                            </w:r>
                            <w:r>
                              <w:t>E-mail: jogarcia@iiq.csic.es.</w:t>
                            </w:r>
                          </w:p>
                          <w:p w:rsidR="00AC2965" w:rsidRPr="00C405FD" w:rsidRDefault="00AC2965" w:rsidP="008F76DD">
                            <w:pPr>
                              <w:pStyle w:val="RSCF01FootnoteAuthorAddress"/>
                            </w:pPr>
                            <w:r w:rsidRPr="00F80C9C">
                              <w:rPr>
                                <w:lang w:val="fr-FR"/>
                              </w:rPr>
                              <w:t xml:space="preserve">Institut de Chimie de Nice, ICN - Université de Nice Sophia Antipolis – CNRS UMR 7272, 28, Avenue de Valrose, F-06100 Nice, France. </w:t>
                            </w:r>
                            <w:r>
                              <w:t>E-mail: Christophe.DI-GIORGIO@unice.fr</w:t>
                            </w:r>
                          </w:p>
                          <w:p w:rsidR="00AC2965" w:rsidRPr="00F80C9C" w:rsidRDefault="00AC2965" w:rsidP="00241ACD">
                            <w:pPr>
                              <w:pStyle w:val="RSCF02FootnotestoTitleAuthors"/>
                              <w:rPr>
                                <w:lang w:val="fr-FR"/>
                              </w:rPr>
                            </w:pPr>
                            <w:r w:rsidRPr="00F80C9C">
                              <w:rPr>
                                <w:lang w:val="fr-FR"/>
                              </w:rPr>
                              <w:t xml:space="preserve">† Present address: Université de </w:t>
                            </w:r>
                            <w:r w:rsidRPr="00F80C9C">
                              <w:rPr>
                                <w:bCs/>
                                <w:lang w:val="fr-FR"/>
                              </w:rPr>
                              <w:t>Bordeaux</w:t>
                            </w:r>
                            <w:r w:rsidRPr="00F80C9C">
                              <w:rPr>
                                <w:lang w:val="fr-FR"/>
                              </w:rPr>
                              <w:t xml:space="preserve">, Institute de Sciences Moléculaires (ISM), Nanostructures Organiques, </w:t>
                            </w:r>
                            <w:r w:rsidRPr="00F80C9C">
                              <w:rPr>
                                <w:bCs/>
                                <w:lang w:val="fr-FR"/>
                              </w:rPr>
                              <w:t>33405 Talence,</w:t>
                            </w:r>
                            <w:r w:rsidRPr="00F80C9C">
                              <w:rPr>
                                <w:lang w:val="fr-FR"/>
                              </w:rPr>
                              <w:t xml:space="preserve"> France. </w:t>
                            </w:r>
                          </w:p>
                          <w:p w:rsidR="00AC2965" w:rsidRPr="00C5798F" w:rsidRDefault="00AC2965" w:rsidP="00241ACD">
                            <w:pPr>
                              <w:pStyle w:val="RSCF02FootnotestoTitleAuthors"/>
                            </w:pPr>
                            <w:r w:rsidRPr="00C5798F">
                              <w:t>‡</w:t>
                            </w:r>
                            <w:r>
                              <w:t xml:space="preserve"> </w:t>
                            </w:r>
                            <w:r w:rsidRPr="006C7788">
                              <w:t>Present address: Institute of Chemical Research of Catalonia (ICIQ), 43007 Tarragona, Spain.</w:t>
                            </w:r>
                          </w:p>
                          <w:p w:rsidR="00AC2965" w:rsidRPr="00241ACD" w:rsidRDefault="00AC2965" w:rsidP="00241ACD">
                            <w:pPr>
                              <w:pStyle w:val="RSCF02FootnotestoTitleAuthors"/>
                            </w:pPr>
                            <w:r w:rsidRPr="00241ACD">
                              <w:t xml:space="preserve">Electronic Supplementary Information (ESI) available: </w:t>
                            </w:r>
                            <w:r w:rsidRPr="00227B40">
                              <w:t>Experimental details, NMR and ESI-MS spectra, and dynamic light scattering (DLS) measurement figures</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48.75pt;height:127.85pt;z-index:-251658752;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" o:allowincell="f" o:allowoverlap="f" stroked="f">
                <o:lock v:ext="edit" aspectratio="t"/>
                <v:textbox style="mso-fit-shape-to-text:t" inset="0,1mm,0,1mm">
                  <w:txbxContent>
                    <w:p w:rsidR="00AC2965" w:rsidRDefault="00AC2965" w:rsidP="008F76DD">
                      <w:pPr>
                        <w:pStyle w:val="RSCF01FootnoteAuthorAddress"/>
                      </w:pPr>
                      <w:r w:rsidRPr="00F80C9C">
                        <w:rPr>
                          <w:lang w:val="es-ES"/>
                        </w:rPr>
                        <w:t xml:space="preserve">Departamento de Química Orgánica, Facultad de Química, Univ. Sevilla, C/ Prof. García González 1, E-41012 Sevilla, Spain. </w:t>
                      </w:r>
                      <w:r>
                        <w:t>E-mail: mellet@us.es.</w:t>
                      </w:r>
                    </w:p>
                    <w:p w:rsidR="00AC2965" w:rsidRDefault="00AC2965" w:rsidP="008F76DD">
                      <w:pPr>
                        <w:pStyle w:val="RSCF01FootnoteAuthorAddress"/>
                      </w:pPr>
                      <w:r w:rsidRPr="00F80C9C">
                        <w:rPr>
                          <w:lang w:val="es-ES"/>
                        </w:rPr>
                        <w:t xml:space="preserve">Instituto de Investigaciones Químicas, CSIC – Univ. Sevilla, Américo Vespucio 49, E-41092 Sevilla, Spain. </w:t>
                      </w:r>
                      <w:r>
                        <w:t>E-mail: jogarcia@iiq.csic.es.</w:t>
                      </w:r>
                    </w:p>
                    <w:p w:rsidR="00AC2965" w:rsidRPr="00C405FD" w:rsidRDefault="00AC2965" w:rsidP="008F76DD">
                      <w:pPr>
                        <w:pStyle w:val="RSCF01FootnoteAuthorAddress"/>
                      </w:pPr>
                      <w:r w:rsidRPr="00F80C9C">
                        <w:rPr>
                          <w:lang w:val="fr-FR"/>
                        </w:rPr>
                        <w:t xml:space="preserve">Institut de Chimie de Nice, ICN - Université de Nice Sophia Antipolis – CNRS UMR 7272, 28, Avenue de Valrose, F-06100 Nice, France. </w:t>
                      </w:r>
                      <w:r>
                        <w:t>E-mail: Christophe.DI-GIORGIO@unice.fr</w:t>
                      </w:r>
                    </w:p>
                    <w:p w:rsidR="00AC2965" w:rsidRPr="00F80C9C" w:rsidRDefault="00AC2965" w:rsidP="00241ACD">
                      <w:pPr>
                        <w:pStyle w:val="RSCF02FootnotestoTitleAuthors"/>
                        <w:rPr>
                          <w:lang w:val="fr-FR"/>
                        </w:rPr>
                      </w:pPr>
                      <w:r w:rsidRPr="00F80C9C">
                        <w:rPr>
                          <w:lang w:val="fr-FR"/>
                        </w:rPr>
                        <w:t xml:space="preserve">† Present address: Université de </w:t>
                      </w:r>
                      <w:r w:rsidRPr="00F80C9C">
                        <w:rPr>
                          <w:bCs/>
                          <w:lang w:val="fr-FR"/>
                        </w:rPr>
                        <w:t>Bordeaux</w:t>
                      </w:r>
                      <w:r w:rsidRPr="00F80C9C">
                        <w:rPr>
                          <w:lang w:val="fr-FR"/>
                        </w:rPr>
                        <w:t xml:space="preserve">, Institute de Sciences Moléculaires (ISM), Nanostructures Organiques, </w:t>
                      </w:r>
                      <w:r w:rsidRPr="00F80C9C">
                        <w:rPr>
                          <w:bCs/>
                          <w:lang w:val="fr-FR"/>
                        </w:rPr>
                        <w:t>33405 Talence,</w:t>
                      </w:r>
                      <w:r w:rsidRPr="00F80C9C">
                        <w:rPr>
                          <w:lang w:val="fr-FR"/>
                        </w:rPr>
                        <w:t xml:space="preserve"> France. </w:t>
                      </w:r>
                    </w:p>
                    <w:p w:rsidR="00AC2965" w:rsidRPr="00C5798F" w:rsidRDefault="00AC2965" w:rsidP="00241ACD">
                      <w:pPr>
                        <w:pStyle w:val="RSCF02FootnotestoTitleAuthors"/>
                      </w:pPr>
                      <w:r w:rsidRPr="00C5798F">
                        <w:t>‡</w:t>
                      </w:r>
                      <w:r>
                        <w:t xml:space="preserve"> </w:t>
                      </w:r>
                      <w:r w:rsidRPr="006C7788">
                        <w:t>Present address: Institute of Chemical Research of Catalonia (ICIQ), 43007 Tarragona, Spain.</w:t>
                      </w:r>
                    </w:p>
                    <w:p w:rsidR="00AC2965" w:rsidRPr="00241ACD" w:rsidRDefault="00AC2965" w:rsidP="00241ACD">
                      <w:pPr>
                        <w:pStyle w:val="RSCF02FootnotestoTitleAuthors"/>
                      </w:pPr>
                      <w:r w:rsidRPr="00241ACD">
                        <w:t xml:space="preserve">Electronic Supplementary Information (ESI) available: </w:t>
                      </w:r>
                      <w:r w:rsidRPr="00227B40">
                        <w:t>Experimental details, NMR and ESI-MS spectra, and dynamic light scattering (DLS) measurement figures</w:t>
                      </w:r>
                      <w:r w:rsidRPr="00241ACD">
                        <w:t>.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rsidR="00F62C8B" w:rsidRPr="00270DD5" w:rsidRDefault="00F62C8B" w:rsidP="004C531E">
      <w:pPr>
        <w:pStyle w:val="RSCM01ReceivedAccepted"/>
      </w:pPr>
      <w:r w:rsidRPr="00270DD5">
        <w:t>Accepted 00th January 20</w:t>
      </w:r>
      <w:r w:rsidR="00F15F90" w:rsidRPr="00270DD5">
        <w:t>xx</w:t>
      </w:r>
    </w:p>
    <w:p w:rsidR="00F62C8B" w:rsidRPr="00F80C9C" w:rsidRDefault="00D551E0" w:rsidP="004C531E">
      <w:pPr>
        <w:pStyle w:val="RSCM02DOI"/>
        <w:rPr>
          <w:lang w:val="fr-FR"/>
        </w:rPr>
      </w:pPr>
      <w:r w:rsidRPr="00F80C9C">
        <w:rPr>
          <w:lang w:val="fr-FR"/>
        </w:rPr>
        <w:t>DOI: 10.1039/x0xx00000x</w:t>
      </w:r>
    </w:p>
    <w:p w:rsidR="00A9649E" w:rsidRPr="00F80C9C" w:rsidRDefault="00D551E0" w:rsidP="004C531E">
      <w:pPr>
        <w:pStyle w:val="RSCM03Website"/>
        <w:rPr>
          <w:lang w:val="fr-FR"/>
        </w:rPr>
      </w:pPr>
      <w:r w:rsidRPr="00F80C9C">
        <w:rPr>
          <w:lang w:val="fr-FR"/>
        </w:rPr>
        <w:t>www.rsc.org/</w:t>
      </w:r>
    </w:p>
    <w:p w:rsidR="004414A5" w:rsidRPr="00C32EDF" w:rsidRDefault="00D551E0" w:rsidP="00C32EDF">
      <w:pPr>
        <w:pStyle w:val="RSCH01PaperTitle"/>
      </w:pPr>
      <w:r w:rsidRPr="00E83F88">
        <w:rPr>
          <w:lang w:val="en-US"/>
        </w:rPr>
        <w:br w:type="column"/>
      </w:r>
      <w:r w:rsidR="00D36630">
        <w:rPr>
          <w:lang w:val="en-US"/>
        </w:rPr>
        <w:lastRenderedPageBreak/>
        <w:t>Harmonized</w:t>
      </w:r>
      <w:r w:rsidR="00251668">
        <w:rPr>
          <w:lang w:val="en-US"/>
        </w:rPr>
        <w:t xml:space="preserve"> </w:t>
      </w:r>
      <w:r w:rsidR="00251668">
        <w:t>t</w:t>
      </w:r>
      <w:r w:rsidR="00564DEF">
        <w:t xml:space="preserve">uning </w:t>
      </w:r>
      <w:r w:rsidR="00251668">
        <w:t xml:space="preserve">of </w:t>
      </w:r>
      <w:r w:rsidR="00C513F9">
        <w:t>nucleic acid</w:t>
      </w:r>
      <w:r w:rsidR="005C0267">
        <w:t xml:space="preserve"> </w:t>
      </w:r>
      <w:r w:rsidR="00C513F9">
        <w:t xml:space="preserve">and lectin binding </w:t>
      </w:r>
      <w:r w:rsidR="00251668">
        <w:t xml:space="preserve">properties </w:t>
      </w:r>
      <w:r w:rsidR="00C513F9">
        <w:t xml:space="preserve">with </w:t>
      </w:r>
      <w:r w:rsidR="005C0267">
        <w:t xml:space="preserve">multivalent </w:t>
      </w:r>
      <w:r w:rsidR="00C513F9">
        <w:t xml:space="preserve">cyclodextrins </w:t>
      </w:r>
      <w:r w:rsidR="007D706A">
        <w:t>for macrophage-</w:t>
      </w:r>
      <w:r w:rsidR="005C0267">
        <w:t xml:space="preserve">selective gene </w:t>
      </w:r>
      <w:r w:rsidR="007D706A">
        <w:t>delivery</w:t>
      </w:r>
    </w:p>
    <w:p w:rsidR="00FA2DA2" w:rsidRDefault="00500B5E" w:rsidP="00F21465">
      <w:pPr>
        <w:pStyle w:val="RSCH02PaperAuthorsandByline"/>
        <w:rPr>
          <w:vertAlign w:val="superscript"/>
        </w:rPr>
      </w:pPr>
      <w:r w:rsidRPr="00500B5E">
        <w:t>A. Méndez-Ardoy,</w:t>
      </w:r>
      <w:r w:rsidRPr="00500B5E">
        <w:rPr>
          <w:vertAlign w:val="superscript"/>
        </w:rPr>
        <w:t>a,</w:t>
      </w:r>
      <w:r>
        <w:rPr>
          <w:vertAlign w:val="superscript"/>
        </w:rPr>
        <w:t>†</w:t>
      </w:r>
      <w:r w:rsidRPr="00500B5E">
        <w:t xml:space="preserve"> A. Díaz-Moscoso,</w:t>
      </w:r>
      <w:r w:rsidRPr="00500B5E">
        <w:rPr>
          <w:vertAlign w:val="superscript"/>
        </w:rPr>
        <w:t>b,‡</w:t>
      </w:r>
      <w:r w:rsidRPr="00500B5E">
        <w:t xml:space="preserve"> C. Ortiz Mellet,</w:t>
      </w:r>
      <w:r w:rsidRPr="00500B5E">
        <w:rPr>
          <w:vertAlign w:val="superscript"/>
        </w:rPr>
        <w:t>a</w:t>
      </w:r>
      <w:r w:rsidRPr="00500B5E">
        <w:t xml:space="preserve"> C. Di Giorgio,</w:t>
      </w:r>
      <w:r w:rsidRPr="00500B5E">
        <w:rPr>
          <w:vertAlign w:val="superscript"/>
        </w:rPr>
        <w:t>c,</w:t>
      </w:r>
      <w:r w:rsidRPr="00500B5E">
        <w:t>* P. Vierling,</w:t>
      </w:r>
      <w:r w:rsidRPr="00500B5E">
        <w:rPr>
          <w:vertAlign w:val="superscript"/>
        </w:rPr>
        <w:t>c</w:t>
      </w:r>
      <w:r w:rsidRPr="00500B5E">
        <w:t xml:space="preserve"> J. M. Benito</w:t>
      </w:r>
      <w:r w:rsidRPr="00500B5E">
        <w:rPr>
          <w:vertAlign w:val="superscript"/>
        </w:rPr>
        <w:t>b,</w:t>
      </w:r>
      <w:r w:rsidRPr="00500B5E">
        <w:t xml:space="preserve">* </w:t>
      </w:r>
      <w:r w:rsidR="00541B57">
        <w:t xml:space="preserve">and </w:t>
      </w:r>
      <w:r w:rsidRPr="00500B5E">
        <w:t>J. M. García Fernández</w:t>
      </w:r>
      <w:r w:rsidRPr="00500B5E">
        <w:rPr>
          <w:vertAlign w:val="superscript"/>
        </w:rPr>
        <w:t>b</w:t>
      </w:r>
    </w:p>
    <w:p w:rsidR="00FA2DA2" w:rsidRDefault="00C5798F" w:rsidP="00FA2DA2">
      <w:pPr>
        <w:pStyle w:val="RSCB01ARTAbstract"/>
      </w:pPr>
      <w:r w:rsidRPr="00C5798F">
        <w:t>Polycationic amphiphilic cyclodextrin</w:t>
      </w:r>
      <w:r w:rsidR="0003247D">
        <w:t>s</w:t>
      </w:r>
      <w:r w:rsidRPr="00C5798F">
        <w:t xml:space="preserve"> (paCDs) have been shown to behave as efficient non-viral gene carriers paralleling the efficacy of commercial vectors</w:t>
      </w:r>
      <w:r w:rsidR="00DD3100">
        <w:t xml:space="preserve"> towards a variety of cell lines</w:t>
      </w:r>
      <w:r w:rsidRPr="00C5798F">
        <w:t xml:space="preserve">. Their </w:t>
      </w:r>
      <w:r w:rsidR="00F51E74">
        <w:t xml:space="preserve">molecular framework and </w:t>
      </w:r>
      <w:r w:rsidRPr="00C5798F">
        <w:t xml:space="preserve">modular design </w:t>
      </w:r>
      <w:r w:rsidR="00F51E74">
        <w:t>allow</w:t>
      </w:r>
      <w:r w:rsidRPr="00C5798F">
        <w:t xml:space="preserve"> the installation of saccharidic antennae </w:t>
      </w:r>
      <w:r w:rsidR="00F51E74" w:rsidRPr="00C5798F">
        <w:t xml:space="preserve">to </w:t>
      </w:r>
      <w:r w:rsidR="00F51E74">
        <w:t>promote</w:t>
      </w:r>
      <w:r w:rsidR="00F51E74" w:rsidRPr="00C5798F">
        <w:t xml:space="preserve"> specific carbohydrate-protein interactions</w:t>
      </w:r>
      <w:r w:rsidR="00DD3100">
        <w:t xml:space="preserve">, thus potentially endowing them with selective targeting abilities. </w:t>
      </w:r>
      <w:r w:rsidRPr="00C5798F">
        <w:t>Yet, the presence of the</w:t>
      </w:r>
      <w:r w:rsidR="0003247D">
        <w:t>se</w:t>
      </w:r>
      <w:r w:rsidRPr="00C5798F">
        <w:t xml:space="preserve"> </w:t>
      </w:r>
      <w:r w:rsidR="0003247D">
        <w:t>additional functionali</w:t>
      </w:r>
      <w:r w:rsidRPr="00C5798F">
        <w:t>ties onto the polycationic cluster may hamp</w:t>
      </w:r>
      <w:r w:rsidR="00DD3100">
        <w:t>er paCD</w:t>
      </w:r>
      <w:r w:rsidRPr="00C5798F">
        <w:t xml:space="preserve"> self-assembly and </w:t>
      </w:r>
      <w:r w:rsidR="00DD3100">
        <w:t xml:space="preserve">nucleic acid </w:t>
      </w:r>
      <w:r w:rsidRPr="00C5798F">
        <w:t xml:space="preserve">condensation. In this report we </w:t>
      </w:r>
      <w:r w:rsidR="0003247D">
        <w:t>describe</w:t>
      </w:r>
      <w:r w:rsidRPr="00C5798F">
        <w:t xml:space="preserve"> the </w:t>
      </w:r>
      <w:r w:rsidR="0003247D">
        <w:t xml:space="preserve">influence of </w:t>
      </w:r>
      <w:r w:rsidR="00C347DA">
        <w:t>paCD mannosylation</w:t>
      </w:r>
      <w:r w:rsidR="00C347DA" w:rsidRPr="00C5798F">
        <w:t xml:space="preserve"> </w:t>
      </w:r>
      <w:r w:rsidR="0003247D" w:rsidRPr="00C5798F">
        <w:t xml:space="preserve">extent </w:t>
      </w:r>
      <w:r w:rsidR="0003247D">
        <w:t>on paCD-pDNA</w:t>
      </w:r>
      <w:r w:rsidRPr="00C5798F">
        <w:t xml:space="preserve"> nanocomplex</w:t>
      </w:r>
      <w:r w:rsidR="0003247D">
        <w:t xml:space="preserve"> stability</w:t>
      </w:r>
      <w:r w:rsidR="00C347DA">
        <w:t xml:space="preserve"> as well as</w:t>
      </w:r>
      <w:r w:rsidRPr="00C5798F">
        <w:t xml:space="preserve"> </w:t>
      </w:r>
      <w:r w:rsidR="00C347DA">
        <w:t>the consequences of varying</w:t>
      </w:r>
      <w:r w:rsidR="00091C8F">
        <w:t xml:space="preserve"> </w:t>
      </w:r>
      <w:r w:rsidR="00C347DA">
        <w:t xml:space="preserve">glycotope density </w:t>
      </w:r>
      <w:r w:rsidR="00091C8F">
        <w:t>on</w:t>
      </w:r>
      <w:r w:rsidR="00C347DA">
        <w:t xml:space="preserve"> mannose-specific lectin recognition and </w:t>
      </w:r>
      <w:r w:rsidR="00091C8F">
        <w:t>gene delivery</w:t>
      </w:r>
      <w:r w:rsidR="00C347DA">
        <w:t xml:space="preserve"> capabilites. The work aims </w:t>
      </w:r>
      <w:r w:rsidR="005C0267">
        <w:t>at</w:t>
      </w:r>
      <w:r w:rsidR="00091C8F">
        <w:t xml:space="preserve"> exploring the potential of this approach to optimize both properties in order to</w:t>
      </w:r>
      <w:r w:rsidR="005C0267">
        <w:t xml:space="preserve"> </w:t>
      </w:r>
      <w:r w:rsidR="002A3AD5">
        <w:t>modulate</w:t>
      </w:r>
      <w:r w:rsidR="00DD3100">
        <w:t xml:space="preserve"> cell</w:t>
      </w:r>
      <w:r w:rsidR="002A3AD5">
        <w:t xml:space="preserve"> </w:t>
      </w:r>
      <w:r w:rsidR="00091C8F">
        <w:t xml:space="preserve">transfection </w:t>
      </w:r>
      <w:r w:rsidR="00DD3100">
        <w:t>selectiv</w:t>
      </w:r>
      <w:r w:rsidR="002A3AD5">
        <w:t>ity</w:t>
      </w:r>
      <w:r w:rsidRPr="00C5798F">
        <w:t>.</w:t>
      </w:r>
    </w:p>
    <w:p w:rsidR="00C5798F" w:rsidRPr="00FA2DA2" w:rsidRDefault="00C5798F" w:rsidP="00FA2DA2">
      <w:pPr>
        <w:pStyle w:val="RSCB01ARTAbstract"/>
        <w:sectPr w:rsidR="00C5798F" w:rsidRPr="00FA2DA2"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p>
    <w:p w:rsidR="005C0267" w:rsidRDefault="000040EB" w:rsidP="00FA2DA2">
      <w:pPr>
        <w:pStyle w:val="RSCB04AHeadingSection"/>
      </w:pPr>
      <w:r>
        <w:lastRenderedPageBreak/>
        <w:t xml:space="preserve">1. </w:t>
      </w:r>
      <w:r w:rsidR="00FA2DA2" w:rsidRPr="00017239">
        <w:t>Introduction</w:t>
      </w:r>
    </w:p>
    <w:p w:rsidR="002F372D" w:rsidRDefault="0003247D" w:rsidP="002F372D">
      <w:pPr>
        <w:pStyle w:val="RSCB02ArticleText"/>
      </w:pPr>
      <w:r>
        <w:t>Gene therapy (i.e. administering nucleic acid-based therapeutics to c</w:t>
      </w:r>
      <w:r w:rsidR="000C5DC2">
        <w:t>o</w:t>
      </w:r>
      <w:r>
        <w:t>rrect</w:t>
      </w:r>
      <w:r w:rsidR="00AF5A8B">
        <w:t xml:space="preserve"> a</w:t>
      </w:r>
      <w:r w:rsidR="000C5DC2">
        <w:t xml:space="preserve"> particular cellular dysfunction</w:t>
      </w:r>
      <w:r>
        <w:t>)</w:t>
      </w:r>
      <w:r w:rsidR="000C5DC2">
        <w:t xml:space="preserve"> represents a promising alternative to conventional drugs due to the specific and predictable mode of action</w:t>
      </w:r>
      <w:r w:rsidR="00AF5A8B">
        <w:t xml:space="preserve"> of </w:t>
      </w:r>
      <w:r w:rsidR="00564DEF">
        <w:t>polynucleotides</w:t>
      </w:r>
      <w:r w:rsidR="000C5DC2">
        <w:t>.</w:t>
      </w:r>
      <w:r w:rsidR="00185858">
        <w:rPr>
          <w:vertAlign w:val="superscript"/>
        </w:rPr>
        <w:t>1</w:t>
      </w:r>
      <w:r w:rsidR="000C5DC2">
        <w:t xml:space="preserve"> Yet, </w:t>
      </w:r>
      <w:r w:rsidR="00AF5A8B">
        <w:t>it</w:t>
      </w:r>
      <w:r w:rsidR="000C5DC2">
        <w:t xml:space="preserve"> face</w:t>
      </w:r>
      <w:r w:rsidR="00AF5A8B">
        <w:t>s</w:t>
      </w:r>
      <w:r w:rsidR="000C5DC2">
        <w:t xml:space="preserve"> the drawback of the poor </w:t>
      </w:r>
      <w:r w:rsidR="002A3AD5">
        <w:t>drug-likeness</w:t>
      </w:r>
      <w:r w:rsidR="000C5DC2">
        <w:t xml:space="preserve"> of nucleic acids</w:t>
      </w:r>
      <w:r w:rsidR="00AF5A8B">
        <w:t xml:space="preserve">, </w:t>
      </w:r>
      <w:r w:rsidR="000C5DC2">
        <w:t>requir</w:t>
      </w:r>
      <w:r w:rsidR="00AF5A8B">
        <w:t>ing</w:t>
      </w:r>
      <w:r w:rsidR="000C5DC2">
        <w:t xml:space="preserve"> purpose-conceived carriers</w:t>
      </w:r>
      <w:r w:rsidR="009F3CDF">
        <w:t>, so-called vectors,</w:t>
      </w:r>
      <w:r w:rsidR="000C5DC2">
        <w:t xml:space="preserve"> to target their goal. Though their efficiency is still far from that of virus-based carriers, the advent of nanotechnolog</w:t>
      </w:r>
      <w:r w:rsidR="00955E84">
        <w:t>y</w:t>
      </w:r>
      <w:r w:rsidR="009F3CDF">
        <w:t xml:space="preserve"> and the persisting safety concer</w:t>
      </w:r>
      <w:r w:rsidR="00F80C9C">
        <w:t>n</w:t>
      </w:r>
      <w:r w:rsidR="009F3CDF">
        <w:t>s regarding the use of viral materials</w:t>
      </w:r>
      <w:r w:rsidR="000C5DC2">
        <w:t xml:space="preserve"> </w:t>
      </w:r>
      <w:r w:rsidR="00F80C9C">
        <w:t xml:space="preserve">have </w:t>
      </w:r>
      <w:r w:rsidR="000C5DC2">
        <w:t xml:space="preserve">fostered the design of a plethora of artificial </w:t>
      </w:r>
      <w:r w:rsidR="002A3AD5">
        <w:t>gene vectors</w:t>
      </w:r>
      <w:r w:rsidR="000C5DC2">
        <w:t xml:space="preserve"> to cope with this task.</w:t>
      </w:r>
      <w:r w:rsidR="00185858">
        <w:rPr>
          <w:vertAlign w:val="superscript"/>
        </w:rPr>
        <w:t>2</w:t>
      </w:r>
      <w:r w:rsidR="000C5DC2">
        <w:t xml:space="preserve"> </w:t>
      </w:r>
      <w:r w:rsidR="00955E84">
        <w:t>Molecular f</w:t>
      </w:r>
      <w:r w:rsidR="007434A2">
        <w:t>acial amphiphiles</w:t>
      </w:r>
      <w:r w:rsidR="00817294">
        <w:t xml:space="preserve"> based on macrocyclic scaffolds</w:t>
      </w:r>
      <w:r w:rsidR="000821D5">
        <w:t>,</w:t>
      </w:r>
      <w:r w:rsidR="00817294">
        <w:rPr>
          <w:vertAlign w:val="superscript"/>
        </w:rPr>
        <w:t>3</w:t>
      </w:r>
      <w:r w:rsidR="000821D5">
        <w:t xml:space="preserve"> among w</w:t>
      </w:r>
      <w:r w:rsidR="00F80C9C">
        <w:t>h</w:t>
      </w:r>
      <w:r w:rsidR="000821D5">
        <w:t xml:space="preserve">ich </w:t>
      </w:r>
      <w:r w:rsidR="00817294">
        <w:t>polycationic amphipilic cyclodextrins (paCDs,</w:t>
      </w:r>
      <w:r w:rsidR="00817294" w:rsidRPr="00DF3390">
        <w:t xml:space="preserve"> </w:t>
      </w:r>
      <w:r w:rsidR="00817294">
        <w:t>Figure 1 left) are relevant representatives,</w:t>
      </w:r>
      <w:r w:rsidR="00817294" w:rsidRPr="00F80C9C">
        <w:rPr>
          <w:vertAlign w:val="superscript"/>
        </w:rPr>
        <w:t>4,5</w:t>
      </w:r>
      <w:r w:rsidR="00BB2711">
        <w:t xml:space="preserve"> ha</w:t>
      </w:r>
      <w:r w:rsidR="007434A2">
        <w:t>ve</w:t>
      </w:r>
      <w:r w:rsidR="00BB2711">
        <w:t xml:space="preserve"> turned particularly </w:t>
      </w:r>
      <w:r w:rsidR="00955E84">
        <w:t xml:space="preserve">promising </w:t>
      </w:r>
      <w:r w:rsidR="00BB2711">
        <w:t>in this regard.</w:t>
      </w:r>
      <w:r w:rsidR="00817294">
        <w:t xml:space="preserve"> paCDs undergo nucleic acid-templated </w:t>
      </w:r>
      <w:r w:rsidR="00F80C9C">
        <w:t>self-assembling</w:t>
      </w:r>
      <w:r w:rsidR="00817294">
        <w:t xml:space="preserve"> affording supramolecular nanocomplexes (CDplexes) that promote </w:t>
      </w:r>
      <w:r w:rsidR="00AC2965">
        <w:t xml:space="preserve">transfection with </w:t>
      </w:r>
      <w:r w:rsidR="00AC2965">
        <w:lastRenderedPageBreak/>
        <w:t>efficiencies that rival that of formulations prepared wit</w:t>
      </w:r>
      <w:r w:rsidR="006405AC">
        <w:t>h commercial polycationic poly</w:t>
      </w:r>
      <w:r w:rsidR="00AC2965">
        <w:t xml:space="preserve">mer (polyplexes) or lipid vectors (lipoplexes), but with no or much </w:t>
      </w:r>
      <w:r w:rsidR="002A3AD5">
        <w:t>milder</w:t>
      </w:r>
      <w:r w:rsidR="00C829DA">
        <w:t xml:space="preserve"> toxicity</w:t>
      </w:r>
      <w:r w:rsidR="009F3CDF">
        <w:t>.</w:t>
      </w:r>
      <w:r w:rsidR="00DF3390">
        <w:t xml:space="preserve"> </w:t>
      </w:r>
      <w:r w:rsidR="00FB0ABD">
        <w:t xml:space="preserve">Selectivity is however similarly low, since cell uptake of CDplexes, </w:t>
      </w:r>
      <w:r w:rsidR="00C829DA">
        <w:t xml:space="preserve">as for </w:t>
      </w:r>
      <w:r w:rsidR="00FB0ABD">
        <w:t xml:space="preserve">polyplexes </w:t>
      </w:r>
      <w:r w:rsidR="001A7808">
        <w:t xml:space="preserve">and </w:t>
      </w:r>
      <w:r w:rsidR="00FB0ABD">
        <w:t>lipoplexes</w:t>
      </w:r>
      <w:r w:rsidR="00C829DA">
        <w:t>,</w:t>
      </w:r>
      <w:r w:rsidR="00FB0ABD">
        <w:t xml:space="preserve"> rel</w:t>
      </w:r>
      <w:r w:rsidR="00C829DA">
        <w:t>ies</w:t>
      </w:r>
      <w:r w:rsidR="00FB0ABD">
        <w:t xml:space="preserve"> e</w:t>
      </w:r>
      <w:r w:rsidR="00AC2965">
        <w:t>s</w:t>
      </w:r>
      <w:r w:rsidR="00FB0ABD">
        <w:t xml:space="preserve">sentially in </w:t>
      </w:r>
      <w:r w:rsidR="00DF3390">
        <w:t>non-specific electrostatic interactions.</w:t>
      </w:r>
      <w:r w:rsidR="00185858">
        <w:rPr>
          <w:vertAlign w:val="superscript"/>
        </w:rPr>
        <w:t>6</w:t>
      </w:r>
      <w:r w:rsidR="00E6237F">
        <w:t xml:space="preserve"> </w:t>
      </w:r>
      <w:r w:rsidR="002B43AA">
        <w:t>Alternatively, e</w:t>
      </w:r>
      <w:r w:rsidR="00817F9A">
        <w:t xml:space="preserve">xploiting </w:t>
      </w:r>
      <w:r w:rsidR="005577E9">
        <w:t xml:space="preserve">specific </w:t>
      </w:r>
      <w:r w:rsidR="00817F9A">
        <w:t xml:space="preserve">ligand-receptor </w:t>
      </w:r>
      <w:r w:rsidR="00FB0ABD">
        <w:t xml:space="preserve">recognition events </w:t>
      </w:r>
      <w:r w:rsidR="00305A0A">
        <w:t xml:space="preserve">(e.g. </w:t>
      </w:r>
      <w:r w:rsidR="00817F9A">
        <w:t>between sugar epitopes and their complementary lectins</w:t>
      </w:r>
      <w:r w:rsidR="00305A0A">
        <w:t>)</w:t>
      </w:r>
      <w:r w:rsidR="00817F9A">
        <w:t xml:space="preserve"> holds great </w:t>
      </w:r>
      <w:r w:rsidR="002B43AA">
        <w:t>promise</w:t>
      </w:r>
      <w:r w:rsidR="00817F9A">
        <w:t xml:space="preserve"> for selectively targeting therapeutic genes</w:t>
      </w:r>
      <w:r w:rsidR="00794E70">
        <w:t>.</w:t>
      </w:r>
      <w:r w:rsidR="00185858">
        <w:rPr>
          <w:vertAlign w:val="superscript"/>
        </w:rPr>
        <w:t>7</w:t>
      </w:r>
      <w:r w:rsidR="00817F9A">
        <w:t xml:space="preserve"> The concept was </w:t>
      </w:r>
      <w:r w:rsidR="00541B57">
        <w:t>put forward</w:t>
      </w:r>
      <w:r w:rsidR="00817F9A">
        <w:t xml:space="preserve"> nearly 20 years ago,</w:t>
      </w:r>
      <w:r w:rsidR="00185858">
        <w:rPr>
          <w:vertAlign w:val="superscript"/>
        </w:rPr>
        <w:t>8</w:t>
      </w:r>
      <w:r w:rsidR="00817F9A">
        <w:t xml:space="preserve"> </w:t>
      </w:r>
      <w:r w:rsidR="002B43AA">
        <w:t xml:space="preserve">but </w:t>
      </w:r>
      <w:r w:rsidR="00817F9A">
        <w:t xml:space="preserve">implementation with macromolecular systems is not that evident. </w:t>
      </w:r>
      <w:r w:rsidR="00DF33E5">
        <w:t>Glyco</w:t>
      </w:r>
      <w:r w:rsidR="00DF33E5" w:rsidRPr="006C7788">
        <w:t xml:space="preserve">targeting </w:t>
      </w:r>
      <w:r w:rsidR="00DF33E5">
        <w:t>is</w:t>
      </w:r>
      <w:r w:rsidR="00DF33E5" w:rsidRPr="006C7788">
        <w:t xml:space="preserve"> </w:t>
      </w:r>
      <w:r w:rsidR="00DF33E5">
        <w:t>presumed</w:t>
      </w:r>
      <w:r w:rsidR="00DF33E5" w:rsidRPr="006C7788">
        <w:t xml:space="preserve"> to </w:t>
      </w:r>
      <w:r w:rsidR="00DF33E5">
        <w:t>arise from</w:t>
      </w:r>
      <w:r w:rsidR="00DF33E5" w:rsidRPr="006C7788">
        <w:t xml:space="preserve"> (i) the increase of the hydration shell of the </w:t>
      </w:r>
      <w:r w:rsidR="00DF33E5">
        <w:t>carrier</w:t>
      </w:r>
      <w:r w:rsidR="00DF33E5" w:rsidRPr="006C7788">
        <w:t xml:space="preserve"> </w:t>
      </w:r>
      <w:r w:rsidR="002B43AA">
        <w:t>due to the hydrophilicity of the sugar motifs, which</w:t>
      </w:r>
      <w:r w:rsidR="00DF33E5">
        <w:t xml:space="preserve"> shields from</w:t>
      </w:r>
      <w:r w:rsidR="00DF33E5" w:rsidRPr="006C7788">
        <w:t xml:space="preserve"> non-specific </w:t>
      </w:r>
      <w:r w:rsidR="00DF33E5">
        <w:t xml:space="preserve">(electrostatic) </w:t>
      </w:r>
      <w:r w:rsidR="00DF33E5" w:rsidRPr="006C7788">
        <w:t xml:space="preserve">interactions, and (ii) specific receptor-mediated cell </w:t>
      </w:r>
      <w:r w:rsidR="002B43AA">
        <w:t>internalization</w:t>
      </w:r>
      <w:r w:rsidR="002B43AA" w:rsidRPr="006C7788">
        <w:t xml:space="preserve"> </w:t>
      </w:r>
      <w:r w:rsidR="00DF33E5" w:rsidRPr="006C7788">
        <w:t>(Figure 1, right)</w:t>
      </w:r>
      <w:r w:rsidR="00DF33E5">
        <w:t xml:space="preserve">. </w:t>
      </w:r>
      <w:r w:rsidR="00817F9A">
        <w:t>Recently, w</w:t>
      </w:r>
      <w:r w:rsidR="00DF3390">
        <w:t>e have demonstrated th</w:t>
      </w:r>
      <w:r w:rsidR="00817F9A">
        <w:t>at</w:t>
      </w:r>
      <w:r w:rsidR="00DF3390">
        <w:t xml:space="preserve"> installation of </w:t>
      </w:r>
      <w:r w:rsidR="008B69DC">
        <w:t xml:space="preserve">a </w:t>
      </w:r>
      <w:r w:rsidR="002A3AD5">
        <w:t>homogeneous glyco</w:t>
      </w:r>
      <w:r w:rsidR="008B69DC">
        <w:t>multivalent display</w:t>
      </w:r>
      <w:r w:rsidR="00DF3390">
        <w:t xml:space="preserve"> on the </w:t>
      </w:r>
      <w:r w:rsidR="0019215D">
        <w:t xml:space="preserve">cationic domain </w:t>
      </w:r>
      <w:r w:rsidR="005577E9">
        <w:t xml:space="preserve">of paCDs </w:t>
      </w:r>
      <w:r w:rsidR="0019215D">
        <w:t xml:space="preserve">selectively </w:t>
      </w:r>
      <w:r w:rsidR="00DF3390">
        <w:t>promote</w:t>
      </w:r>
      <w:r w:rsidR="0019215D">
        <w:t>d</w:t>
      </w:r>
      <w:r w:rsidR="00DF3390">
        <w:t xml:space="preserve"> </w:t>
      </w:r>
      <w:r w:rsidR="008B69DC">
        <w:t xml:space="preserve">gene </w:t>
      </w:r>
      <w:r w:rsidR="0019215D">
        <w:t xml:space="preserve">delivery </w:t>
      </w:r>
      <w:r w:rsidR="008B69DC">
        <w:t xml:space="preserve">to cells </w:t>
      </w:r>
      <w:r w:rsidR="002A3AD5">
        <w:t xml:space="preserve">expressing complementary </w:t>
      </w:r>
      <w:r w:rsidR="00F347F8">
        <w:t xml:space="preserve">lectin </w:t>
      </w:r>
      <w:r w:rsidR="002A3AD5">
        <w:t>receptors</w:t>
      </w:r>
      <w:r w:rsidR="00DF3390">
        <w:t>.</w:t>
      </w:r>
      <w:r w:rsidR="00185858">
        <w:rPr>
          <w:vertAlign w:val="superscript"/>
        </w:rPr>
        <w:t>9</w:t>
      </w:r>
      <w:r w:rsidR="00DF3390">
        <w:t xml:space="preserve"> Yet, the</w:t>
      </w:r>
      <w:r w:rsidR="008B69DC">
        <w:t xml:space="preserve"> </w:t>
      </w:r>
      <w:r w:rsidR="0019215D">
        <w:t xml:space="preserve">incorporation </w:t>
      </w:r>
      <w:r w:rsidR="008B69DC">
        <w:t xml:space="preserve">of </w:t>
      </w:r>
      <w:r w:rsidR="0019215D">
        <w:t>glycoligands on the vector</w:t>
      </w:r>
      <w:r w:rsidR="00DF3390">
        <w:t xml:space="preserve"> </w:t>
      </w:r>
      <w:r w:rsidR="00995D0E">
        <w:t xml:space="preserve">has a strong impact on the hydrophobic/hydrophilic balance and </w:t>
      </w:r>
      <w:r w:rsidR="00CE4872">
        <w:t xml:space="preserve">the hydrodynamic properties </w:t>
      </w:r>
      <w:r w:rsidR="00995D0E">
        <w:t>of the system</w:t>
      </w:r>
      <w:r w:rsidR="006405AC">
        <w:t>,</w:t>
      </w:r>
      <w:r w:rsidR="00995D0E">
        <w:t xml:space="preserve"> </w:t>
      </w:r>
      <w:r w:rsidR="006405AC">
        <w:t>which</w:t>
      </w:r>
      <w:r w:rsidR="00995D0E">
        <w:t xml:space="preserve"> </w:t>
      </w:r>
      <w:r w:rsidR="00F347F8">
        <w:t xml:space="preserve">may </w:t>
      </w:r>
      <w:r w:rsidR="00F80C9C">
        <w:t>negatively</w:t>
      </w:r>
      <w:r w:rsidR="0019215D">
        <w:t xml:space="preserve"> affect self-assembling, nucleic acid compaction and, ultimately</w:t>
      </w:r>
      <w:r w:rsidR="00995D0E">
        <w:t>,</w:t>
      </w:r>
      <w:r w:rsidR="0019215D">
        <w:t xml:space="preserve"> transfections </w:t>
      </w:r>
      <w:r w:rsidR="00995D0E">
        <w:t>capabilities.</w:t>
      </w:r>
      <w:r w:rsidR="00185858">
        <w:rPr>
          <w:vertAlign w:val="superscript"/>
        </w:rPr>
        <w:t>10</w:t>
      </w:r>
      <w:r w:rsidR="00D551E0" w:rsidRPr="00F80C9C">
        <w:rPr>
          <w:vertAlign w:val="superscript"/>
        </w:rPr>
        <w:t>,</w:t>
      </w:r>
      <w:r w:rsidR="00185858">
        <w:rPr>
          <w:vertAlign w:val="superscript"/>
        </w:rPr>
        <w:t>11</w:t>
      </w:r>
      <w:r w:rsidR="00995D0E">
        <w:t xml:space="preserve"> </w:t>
      </w:r>
      <w:r w:rsidR="00D36630">
        <w:t xml:space="preserve">Harmonizing </w:t>
      </w:r>
      <w:r w:rsidR="00B16565">
        <w:t xml:space="preserve">glycotope </w:t>
      </w:r>
      <w:r w:rsidR="007339CF">
        <w:t>and cationic group densities</w:t>
      </w:r>
      <w:r w:rsidR="00B16565">
        <w:t xml:space="preserve"> to warrant biologically useful affinities towards </w:t>
      </w:r>
      <w:r w:rsidR="00F347F8">
        <w:t xml:space="preserve">both </w:t>
      </w:r>
      <w:r w:rsidR="00B16565">
        <w:t xml:space="preserve">the target lectin </w:t>
      </w:r>
      <w:r w:rsidR="00F347F8">
        <w:t xml:space="preserve">and the nucleic acid cargo </w:t>
      </w:r>
      <w:r w:rsidR="00CE4872">
        <w:t>is thus critical for those channels.</w:t>
      </w:r>
    </w:p>
    <w:p w:rsidR="00C67AF3" w:rsidRDefault="00C67AF3" w:rsidP="00C67AF3">
      <w:pPr>
        <w:pStyle w:val="RSCI02FigureSchemeChartwithtopbar"/>
      </w:pPr>
    </w:p>
    <w:p w:rsidR="005577E9" w:rsidRDefault="00F80C9C" w:rsidP="00DF6BF5">
      <w:pPr>
        <w:pStyle w:val="RSCI02FigureSchemeChartwithtopbar"/>
        <w:jc w:val="center"/>
      </w:pPr>
      <w:r>
        <w:rPr>
          <w:noProof/>
          <w:lang w:val="es-ES" w:eastAsia="es-ES"/>
        </w:rPr>
        <w:lastRenderedPageBreak/>
        <w:drawing>
          <wp:inline distT="0" distB="0" distL="0" distR="0">
            <wp:extent cx="3193432" cy="22981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3086" cy="2297903"/>
                    </a:xfrm>
                    <a:prstGeom prst="rect">
                      <a:avLst/>
                    </a:prstGeom>
                    <a:noFill/>
                  </pic:spPr>
                </pic:pic>
              </a:graphicData>
            </a:graphic>
          </wp:inline>
        </w:drawing>
      </w:r>
    </w:p>
    <w:p w:rsidR="00C67AF3" w:rsidRPr="006C7788" w:rsidRDefault="00C67AF3" w:rsidP="00C67AF3">
      <w:pPr>
        <w:pStyle w:val="RSCI01FigureSchemeChartwithbottombar"/>
      </w:pPr>
      <w:r w:rsidRPr="006C7788">
        <w:rPr>
          <w:b/>
        </w:rPr>
        <w:t>Figure 1</w:t>
      </w:r>
      <w:r w:rsidRPr="006C7788">
        <w:t xml:space="preserve">. Schematic representation of the mechanisms involved in cell-membrane binding of CDplexes: naked CDplexes </w:t>
      </w:r>
      <w:r w:rsidR="002A3AD5">
        <w:t xml:space="preserve">(left) </w:t>
      </w:r>
      <w:r w:rsidRPr="006C7788">
        <w:t xml:space="preserve">exploit non-specific electrostatic interactions with negatively-charged cell membrane proteoglycans. Conversely, in glycoCDplexes </w:t>
      </w:r>
      <w:r w:rsidR="002A3AD5">
        <w:t xml:space="preserve">(right) </w:t>
      </w:r>
      <w:r w:rsidRPr="006C7788">
        <w:t>these interactions are hampered by the heavier solvation of the carbohydrate shield, thus adhesion is mostly dependent on specific multivalent interactions with the appropriate receptor (lectin).</w:t>
      </w:r>
    </w:p>
    <w:p w:rsidR="00185858" w:rsidRPr="00B9392D" w:rsidRDefault="002F372D" w:rsidP="00DF33E5">
      <w:pPr>
        <w:pStyle w:val="RSCB02ArticleText"/>
        <w:rPr>
          <w:rStyle w:val="06CHeading"/>
          <w:rFonts w:asciiTheme="minorHAnsi" w:hAnsiTheme="minorHAnsi"/>
          <w:b w:val="0"/>
          <w:smallCaps w:val="0"/>
        </w:rPr>
      </w:pPr>
      <w:r>
        <w:t>I</w:t>
      </w:r>
      <w:r w:rsidR="00DF33E5" w:rsidRPr="006C7788">
        <w:t>n</w:t>
      </w:r>
      <w:r>
        <w:t xml:space="preserve"> this paper,</w:t>
      </w:r>
      <w:r w:rsidR="00DF33E5" w:rsidRPr="006C7788">
        <w:t xml:space="preserve"> we repo</w:t>
      </w:r>
      <w:r w:rsidR="00641158">
        <w:t>r</w:t>
      </w:r>
      <w:r w:rsidR="00DF33E5" w:rsidRPr="006C7788">
        <w:t xml:space="preserve">t the synthesis of a series of statistically mannosylated paCDs featuring </w:t>
      </w:r>
      <w:r w:rsidR="007339CF">
        <w:t>variable relative proportions</w:t>
      </w:r>
      <w:r w:rsidR="007339CF" w:rsidRPr="006C7788">
        <w:t xml:space="preserve"> </w:t>
      </w:r>
      <w:r w:rsidR="007339CF">
        <w:t xml:space="preserve">of sugar and protonable amino </w:t>
      </w:r>
      <w:r w:rsidR="00F80C9C">
        <w:t>centres</w:t>
      </w:r>
      <w:r w:rsidR="007339CF" w:rsidRPr="006C7788">
        <w:t xml:space="preserve"> </w:t>
      </w:r>
      <w:r w:rsidR="00DF33E5" w:rsidRPr="006C7788">
        <w:t xml:space="preserve">and a preliminary assessment of how mannosylation extent modulates </w:t>
      </w:r>
      <w:r w:rsidR="00641158">
        <w:t xml:space="preserve">the </w:t>
      </w:r>
      <w:r w:rsidR="00DF33E5" w:rsidRPr="006C7788">
        <w:t xml:space="preserve">nucleic acid condensing capacity, </w:t>
      </w:r>
      <w:r w:rsidR="00641158">
        <w:t xml:space="preserve">the </w:t>
      </w:r>
      <w:r w:rsidR="00DF33E5" w:rsidRPr="006C7788">
        <w:t xml:space="preserve">dynamics and stability of the resulting glycoCDplexes, </w:t>
      </w:r>
      <w:r w:rsidR="00641158">
        <w:t xml:space="preserve">the </w:t>
      </w:r>
      <w:r w:rsidR="00DF33E5" w:rsidRPr="006C7788">
        <w:t xml:space="preserve">binding affinity to mannose-specific receptors and </w:t>
      </w:r>
      <w:r w:rsidR="007339CF">
        <w:t xml:space="preserve">the </w:t>
      </w:r>
      <w:r w:rsidR="00DF33E5" w:rsidRPr="006C7788">
        <w:t xml:space="preserve">transfection efficiency </w:t>
      </w:r>
      <w:r w:rsidR="00641158">
        <w:t>towards</w:t>
      </w:r>
      <w:r w:rsidR="00DF33E5" w:rsidRPr="006C7788">
        <w:t xml:space="preserve"> macrophage mannose receptor (MMR) positive (RAW 264.7) and negative (BNL-CL2 and COS-7) cell lines.</w:t>
      </w:r>
    </w:p>
    <w:p w:rsidR="005C0267" w:rsidRDefault="000040EB" w:rsidP="00FA2DA2">
      <w:pPr>
        <w:pStyle w:val="RSCB04AHeadingSection"/>
      </w:pPr>
      <w:r>
        <w:t xml:space="preserve">2. </w:t>
      </w:r>
      <w:r w:rsidR="00FA2DA2" w:rsidRPr="00017239">
        <w:t>Results and discussion</w:t>
      </w:r>
    </w:p>
    <w:p w:rsidR="005F65A2" w:rsidRDefault="000040EB" w:rsidP="005F65A2">
      <w:pPr>
        <w:pStyle w:val="RSCB06BHeadingSub-Section"/>
      </w:pPr>
      <w:r>
        <w:t xml:space="preserve">2.1. </w:t>
      </w:r>
      <w:r w:rsidR="005F65A2" w:rsidRPr="00DC1746">
        <w:t>S</w:t>
      </w:r>
      <w:r w:rsidR="000131B1">
        <w:t>election criteria and s</w:t>
      </w:r>
      <w:r w:rsidR="005F65A2" w:rsidRPr="00DC1746">
        <w:t>ynthe</w:t>
      </w:r>
      <w:r w:rsidR="005F65A2">
        <w:t>sis</w:t>
      </w:r>
      <w:r w:rsidR="005F65A2" w:rsidRPr="00DC1746">
        <w:t>.</w:t>
      </w:r>
    </w:p>
    <w:p w:rsidR="00581C59" w:rsidRDefault="00973154" w:rsidP="00581C59">
      <w:pPr>
        <w:pStyle w:val="RSCB02ArticleText"/>
      </w:pPr>
      <w:r>
        <w:t>Compounds</w:t>
      </w:r>
      <w:r w:rsidR="00581C59">
        <w:t xml:space="preserve"> </w:t>
      </w:r>
      <w:r w:rsidR="005370B9" w:rsidRPr="005370B9">
        <w:rPr>
          <w:b/>
        </w:rPr>
        <w:t>1a</w:t>
      </w:r>
      <w:r w:rsidR="005370B9" w:rsidRPr="005370B9">
        <w:rPr>
          <w:vertAlign w:val="superscript"/>
        </w:rPr>
        <w:t>12a</w:t>
      </w:r>
      <w:r w:rsidR="005370B9" w:rsidRPr="005370B9">
        <w:t xml:space="preserve"> </w:t>
      </w:r>
      <w:r w:rsidR="00581C59" w:rsidRPr="005370B9">
        <w:t xml:space="preserve">and </w:t>
      </w:r>
      <w:r w:rsidR="005370B9" w:rsidRPr="005370B9">
        <w:rPr>
          <w:b/>
        </w:rPr>
        <w:t>2a</w:t>
      </w:r>
      <w:r w:rsidR="005370B9" w:rsidRPr="005370B9">
        <w:rPr>
          <w:vertAlign w:val="superscript"/>
        </w:rPr>
        <w:t>12b</w:t>
      </w:r>
      <w:r w:rsidR="005370B9">
        <w:t xml:space="preserve"> </w:t>
      </w:r>
      <w:r w:rsidR="00581C59">
        <w:t>(Scheme 1</w:t>
      </w:r>
      <w:r w:rsidR="00856661">
        <w:t>),</w:t>
      </w:r>
      <w:r w:rsidR="00DF6BF5">
        <w:t xml:space="preserve"> </w:t>
      </w:r>
      <w:r w:rsidR="00581C59">
        <w:t>featur</w:t>
      </w:r>
      <w:r w:rsidR="00856661">
        <w:t>ing</w:t>
      </w:r>
      <w:r w:rsidR="00581C59">
        <w:t xml:space="preserve"> very similar structures but subtle </w:t>
      </w:r>
      <w:r w:rsidR="007339CF">
        <w:t xml:space="preserve">vector </w:t>
      </w:r>
      <w:r w:rsidR="00581C59">
        <w:t>performance disparities</w:t>
      </w:r>
      <w:r>
        <w:t>, were selected as paCD scaffolds to investigate the effect of increasing mannosylation degrees on DNA complexing abilities and MMR recognition properties</w:t>
      </w:r>
      <w:r w:rsidR="00581C59">
        <w:t xml:space="preserve">. </w:t>
      </w:r>
      <w:r w:rsidR="00396AD3">
        <w:t>The transfection efficiency of pDNA complexes formulated with t</w:t>
      </w:r>
      <w:r w:rsidR="00581C59">
        <w:t>riazol-</w:t>
      </w:r>
      <w:r w:rsidR="00396AD3">
        <w:t xml:space="preserve">armed </w:t>
      </w:r>
      <w:r w:rsidR="00581C59">
        <w:t xml:space="preserve">paCD </w:t>
      </w:r>
      <w:r w:rsidR="00581C59" w:rsidRPr="005F65A2">
        <w:rPr>
          <w:b/>
        </w:rPr>
        <w:t>1a</w:t>
      </w:r>
      <w:r w:rsidR="00581C59">
        <w:t xml:space="preserve"> </w:t>
      </w:r>
      <w:r w:rsidR="00396AD3">
        <w:t>is optimal</w:t>
      </w:r>
      <w:r w:rsidR="00581C59">
        <w:t xml:space="preserve"> at </w:t>
      </w:r>
      <w:r w:rsidR="00396AD3">
        <w:t xml:space="preserve">a </w:t>
      </w:r>
      <w:r w:rsidR="00581C59">
        <w:t>nitrogen/phosphorus (N/P) ratio of 10.</w:t>
      </w:r>
      <w:r w:rsidR="008C62E7">
        <w:rPr>
          <w:vertAlign w:val="superscript"/>
        </w:rPr>
        <w:t>13</w:t>
      </w:r>
      <w:r w:rsidR="00F83713">
        <w:t xml:space="preserve"> </w:t>
      </w:r>
      <w:r w:rsidR="00581C59">
        <w:t xml:space="preserve">Thiourea-tethered paCD </w:t>
      </w:r>
      <w:r w:rsidR="00581C59">
        <w:rPr>
          <w:b/>
        </w:rPr>
        <w:t>2</w:t>
      </w:r>
      <w:r w:rsidR="00581C59" w:rsidRPr="005F65A2">
        <w:rPr>
          <w:b/>
        </w:rPr>
        <w:t>a</w:t>
      </w:r>
      <w:r w:rsidR="00581C59">
        <w:t>, on the other hand, achieves similar expression levels at a lower N/P (5), which is attributed to the privileged phosphate binding ability of</w:t>
      </w:r>
      <w:r w:rsidR="00396AD3">
        <w:t xml:space="preserve"> the</w:t>
      </w:r>
      <w:r w:rsidR="00581C59">
        <w:t xml:space="preserve"> 2-aminoethylthiourea segment</w:t>
      </w:r>
      <w:r w:rsidR="00396AD3">
        <w:t>s</w:t>
      </w:r>
      <w:r w:rsidR="00581C59">
        <w:t xml:space="preserve"> on the cationic </w:t>
      </w:r>
      <w:r w:rsidR="009235DC">
        <w:t>cluster</w:t>
      </w:r>
      <w:r w:rsidR="00581C59">
        <w:t>.</w:t>
      </w:r>
      <w:r w:rsidRPr="00A3582A">
        <w:rPr>
          <w:vertAlign w:val="superscript"/>
        </w:rPr>
        <w:t>12b</w:t>
      </w:r>
    </w:p>
    <w:p w:rsidR="005F65A2" w:rsidRDefault="0082581F" w:rsidP="005F65A2">
      <w:pPr>
        <w:pStyle w:val="RSCB02ArticleText"/>
      </w:pPr>
      <w:r>
        <w:t>Cyclodextrin</w:t>
      </w:r>
      <w:r w:rsidR="00581C59">
        <w:t xml:space="preserve"> scaffolds </w:t>
      </w:r>
      <w:r w:rsidR="00581C59" w:rsidRPr="005F65A2">
        <w:rPr>
          <w:b/>
        </w:rPr>
        <w:t>1</w:t>
      </w:r>
      <w:r w:rsidR="00581C59">
        <w:rPr>
          <w:b/>
        </w:rPr>
        <w:t>a</w:t>
      </w:r>
      <w:r w:rsidR="00581C59" w:rsidRPr="005F65A2">
        <w:t xml:space="preserve"> and </w:t>
      </w:r>
      <w:r w:rsidR="00581C59" w:rsidRPr="005F65A2">
        <w:rPr>
          <w:b/>
        </w:rPr>
        <w:t>2</w:t>
      </w:r>
      <w:r w:rsidR="00581C59">
        <w:rPr>
          <w:b/>
        </w:rPr>
        <w:t>a</w:t>
      </w:r>
      <w:r w:rsidR="00581C59">
        <w:t xml:space="preserve"> were </w:t>
      </w:r>
      <w:r w:rsidR="00973154">
        <w:t xml:space="preserve">conjugated </w:t>
      </w:r>
      <w:r w:rsidR="00581C59">
        <w:t xml:space="preserve">with </w:t>
      </w:r>
      <w:r w:rsidR="00581C59" w:rsidRPr="005F65A2">
        <w:t>2-(α-</w:t>
      </w:r>
      <w:r w:rsidR="00581C59" w:rsidRPr="006916EE">
        <w:rPr>
          <w:smallCaps/>
        </w:rPr>
        <w:t>d</w:t>
      </w:r>
      <w:r w:rsidR="00581C59" w:rsidRPr="005F65A2">
        <w:t>-mannopyranosyloxy)ethyl isothiocyanate (</w:t>
      </w:r>
      <w:r w:rsidR="00581C59" w:rsidRPr="005F65A2">
        <w:rPr>
          <w:b/>
        </w:rPr>
        <w:t>3</w:t>
      </w:r>
      <w:r w:rsidR="00581C59" w:rsidRPr="005F65A2">
        <w:t>)</w:t>
      </w:r>
      <w:r w:rsidR="008C62E7" w:rsidRPr="005F65A2">
        <w:rPr>
          <w:vertAlign w:val="superscript"/>
        </w:rPr>
        <w:t>1</w:t>
      </w:r>
      <w:r w:rsidR="008C62E7">
        <w:rPr>
          <w:vertAlign w:val="superscript"/>
        </w:rPr>
        <w:t>4</w:t>
      </w:r>
      <w:r w:rsidR="008C62E7">
        <w:t xml:space="preserve"> </w:t>
      </w:r>
      <w:r w:rsidR="00581C59">
        <w:t xml:space="preserve">using </w:t>
      </w:r>
      <w:r w:rsidR="005F65A2" w:rsidRPr="005F65A2">
        <w:t>thiourea-forming ligation chemistry</w:t>
      </w:r>
      <w:r w:rsidR="00581C59">
        <w:t xml:space="preserve"> </w:t>
      </w:r>
      <w:r w:rsidR="00581C59" w:rsidRPr="005F65A2">
        <w:t>(Scheme 1)</w:t>
      </w:r>
      <w:r w:rsidR="00581C59">
        <w:t xml:space="preserve">. </w:t>
      </w:r>
      <w:r w:rsidR="00396AD3">
        <w:t>Each indiv</w:t>
      </w:r>
      <w:r w:rsidR="00624D8C">
        <w:t>id</w:t>
      </w:r>
      <w:r w:rsidR="00396AD3">
        <w:t xml:space="preserve">ual coupling reaction results </w:t>
      </w:r>
      <w:r w:rsidR="00BE4162">
        <w:t>then</w:t>
      </w:r>
      <w:r w:rsidR="00396AD3">
        <w:t xml:space="preserve"> in the replacement of a cationizable </w:t>
      </w:r>
      <w:r w:rsidR="00624D8C">
        <w:t>centre</w:t>
      </w:r>
      <w:r w:rsidR="00396AD3">
        <w:t xml:space="preserve"> in the vecto</w:t>
      </w:r>
      <w:r w:rsidR="00624D8C">
        <w:t>r</w:t>
      </w:r>
      <w:r w:rsidR="00396AD3">
        <w:t xml:space="preserve"> by a neutral biorecognizable glycotope. </w:t>
      </w:r>
      <w:r w:rsidR="00973154">
        <w:t>R</w:t>
      </w:r>
      <w:r w:rsidR="00581C59">
        <w:t xml:space="preserve">eaction with </w:t>
      </w:r>
      <w:r w:rsidR="003D5C35">
        <w:t>increasing</w:t>
      </w:r>
      <w:r w:rsidR="00581C59">
        <w:t xml:space="preserve"> amounts of </w:t>
      </w:r>
      <w:r w:rsidR="00581C59" w:rsidRPr="005F65A2">
        <w:t>isothiocyanate</w:t>
      </w:r>
      <w:r w:rsidR="00581C59">
        <w:t xml:space="preserve"> </w:t>
      </w:r>
      <w:r w:rsidR="00581C59" w:rsidRPr="00581C59">
        <w:rPr>
          <w:b/>
        </w:rPr>
        <w:t>3</w:t>
      </w:r>
      <w:r w:rsidR="003D5C35">
        <w:t xml:space="preserve"> (5 to 50% relative to the </w:t>
      </w:r>
      <w:r>
        <w:t xml:space="preserve">paCD </w:t>
      </w:r>
      <w:r w:rsidR="003D5C35">
        <w:t>primary amino groups),</w:t>
      </w:r>
      <w:r w:rsidR="00581C59">
        <w:t xml:space="preserve"> followed by purification by size exclusion chromatography, furnished </w:t>
      </w:r>
      <w:r w:rsidR="00581C59" w:rsidRPr="005F65A2">
        <w:t xml:space="preserve">two series of </w:t>
      </w:r>
      <w:r w:rsidR="00581C59" w:rsidRPr="006C7788">
        <w:t>paCDs</w:t>
      </w:r>
      <w:r w:rsidR="003D5C35">
        <w:t xml:space="preserve"> with different degrees of mannosylation</w:t>
      </w:r>
      <w:r w:rsidR="00581C59" w:rsidRPr="005F65A2">
        <w:t xml:space="preserve"> </w:t>
      </w:r>
      <w:r w:rsidR="003D5C35">
        <w:t>(</w:t>
      </w:r>
      <w:r w:rsidR="00581C59" w:rsidRPr="005F65A2">
        <w:rPr>
          <w:b/>
        </w:rPr>
        <w:t>1</w:t>
      </w:r>
      <w:r w:rsidR="00581C59">
        <w:rPr>
          <w:b/>
        </w:rPr>
        <w:t>b</w:t>
      </w:r>
      <w:r w:rsidR="00581C59" w:rsidRPr="005F65A2">
        <w:t>-</w:t>
      </w:r>
      <w:r w:rsidR="00581C59" w:rsidRPr="005F65A2">
        <w:rPr>
          <w:b/>
        </w:rPr>
        <w:t>e</w:t>
      </w:r>
      <w:r w:rsidR="00581C59" w:rsidRPr="005F65A2">
        <w:t xml:space="preserve"> and </w:t>
      </w:r>
      <w:r w:rsidR="00581C59" w:rsidRPr="005F65A2">
        <w:rPr>
          <w:b/>
        </w:rPr>
        <w:t>2</w:t>
      </w:r>
      <w:r w:rsidR="00581C59">
        <w:rPr>
          <w:b/>
        </w:rPr>
        <w:t>b</w:t>
      </w:r>
      <w:r w:rsidR="00581C59" w:rsidRPr="005F65A2">
        <w:t>-</w:t>
      </w:r>
      <w:r w:rsidR="00581C59" w:rsidRPr="005F65A2">
        <w:rPr>
          <w:b/>
        </w:rPr>
        <w:t>e</w:t>
      </w:r>
      <w:r w:rsidR="00581C59" w:rsidRPr="005F65A2">
        <w:t>,</w:t>
      </w:r>
      <w:r w:rsidR="003D5C35">
        <w:t xml:space="preserve"> </w:t>
      </w:r>
      <w:r w:rsidR="00581C59" w:rsidRPr="005F65A2">
        <w:t>respectively)</w:t>
      </w:r>
      <w:r w:rsidR="00581C59">
        <w:t xml:space="preserve">. </w:t>
      </w:r>
      <w:r w:rsidR="005F65A2" w:rsidRPr="005F65A2">
        <w:t xml:space="preserve">ESI-MS and </w:t>
      </w:r>
      <w:r w:rsidR="005F65A2" w:rsidRPr="005F65A2">
        <w:rPr>
          <w:vertAlign w:val="superscript"/>
        </w:rPr>
        <w:t>1</w:t>
      </w:r>
      <w:r w:rsidR="005F65A2" w:rsidRPr="005F65A2">
        <w:t xml:space="preserve">H NMR spectroscopy confirmed quantitative mannoside incorporation </w:t>
      </w:r>
      <w:r w:rsidR="00973154">
        <w:t xml:space="preserve">in all cases </w:t>
      </w:r>
      <w:r w:rsidR="005F65A2" w:rsidRPr="005F65A2">
        <w:t>(see Supplementary Information).</w:t>
      </w:r>
    </w:p>
    <w:p w:rsidR="00170EB5" w:rsidRDefault="00BE4162" w:rsidP="00170EB5">
      <w:pPr>
        <w:pStyle w:val="RSCI02FigureSchemeChartwithtopbar"/>
      </w:pPr>
      <w:r>
        <w:object w:dxaOrig="5642" w:dyaOrig="10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8pt;height:456.85pt" o:ole="">
            <v:imagedata r:id="rId16" o:title=""/>
          </v:shape>
          <o:OLEObject Type="Embed" ProgID="ChemDraw.Document.6.0" ShapeID="_x0000_i1025" DrawAspect="Content" ObjectID="_1505627007" r:id="rId17"/>
        </w:object>
      </w:r>
    </w:p>
    <w:p w:rsidR="00170EB5" w:rsidRDefault="00170EB5" w:rsidP="00170EB5">
      <w:pPr>
        <w:pStyle w:val="RSCI05CaptiontoFigureSchemeChartwithbottombar"/>
      </w:pPr>
      <w:r w:rsidRPr="00170EB5">
        <w:rPr>
          <w:b/>
        </w:rPr>
        <w:t>Scheme 1</w:t>
      </w:r>
      <w:r>
        <w:t xml:space="preserve">. </w:t>
      </w:r>
      <w:r w:rsidRPr="006C7788">
        <w:t xml:space="preserve">Synthesis of statistically mannosylated paCDs from </w:t>
      </w:r>
      <w:r w:rsidRPr="006C7788">
        <w:rPr>
          <w:b/>
        </w:rPr>
        <w:t>1</w:t>
      </w:r>
      <w:r>
        <w:rPr>
          <w:b/>
        </w:rPr>
        <w:t>a</w:t>
      </w:r>
      <w:r w:rsidRPr="006C7788">
        <w:t xml:space="preserve"> and </w:t>
      </w:r>
      <w:r w:rsidRPr="006C7788">
        <w:rPr>
          <w:b/>
        </w:rPr>
        <w:t>2</w:t>
      </w:r>
      <w:r>
        <w:rPr>
          <w:b/>
        </w:rPr>
        <w:t>a</w:t>
      </w:r>
      <w:r>
        <w:t xml:space="preserve"> and structure </w:t>
      </w:r>
      <w:r w:rsidRPr="006C7788">
        <w:t xml:space="preserve">of the homogenously mannosylated derivative </w:t>
      </w:r>
      <w:r w:rsidRPr="006C7788">
        <w:rPr>
          <w:b/>
        </w:rPr>
        <w:t>4</w:t>
      </w:r>
      <w:r w:rsidRPr="006C7788">
        <w:t xml:space="preserve"> used as positive control</w:t>
      </w:r>
      <w:r>
        <w:t xml:space="preserve"> in macrophage adhesion experiments.</w:t>
      </w:r>
    </w:p>
    <w:p w:rsidR="009E0DAB" w:rsidRPr="00081248" w:rsidRDefault="009235DC" w:rsidP="005F65A2">
      <w:pPr>
        <w:pStyle w:val="RSCB02ArticleText"/>
        <w:rPr>
          <w:vertAlign w:val="superscript"/>
        </w:rPr>
      </w:pPr>
      <w:r>
        <w:t>The above multiconjugation</w:t>
      </w:r>
      <w:r w:rsidR="003D5C35" w:rsidRPr="00170EB5">
        <w:t xml:space="preserve"> strategy </w:t>
      </w:r>
      <w:r>
        <w:t xml:space="preserve">provides a very convenient method to modulate the coating sugar content of the </w:t>
      </w:r>
      <w:r w:rsidR="00687B5F">
        <w:t xml:space="preserve">paCD </w:t>
      </w:r>
      <w:r>
        <w:t>vectors while significant</w:t>
      </w:r>
      <w:r w:rsidR="00687B5F">
        <w:t>ly reducing the synthetic effor</w:t>
      </w:r>
      <w:r>
        <w:t xml:space="preserve">t as compared with regioselective </w:t>
      </w:r>
      <w:r w:rsidR="00687B5F">
        <w:t xml:space="preserve">synthetic schemes previously implemented, e.g. for the synthesis of </w:t>
      </w:r>
      <w:r w:rsidR="00E91FDD">
        <w:t xml:space="preserve">the </w:t>
      </w:r>
      <w:r w:rsidR="00687B5F" w:rsidRPr="00170EB5">
        <w:t xml:space="preserve">heptamannosylated glyco(paCD) </w:t>
      </w:r>
      <w:r w:rsidR="00687B5F" w:rsidRPr="00170EB5">
        <w:rPr>
          <w:b/>
        </w:rPr>
        <w:t>4</w:t>
      </w:r>
      <w:r w:rsidR="00D551E0" w:rsidRPr="00624D8C">
        <w:t xml:space="preserve"> (Scheme 1).</w:t>
      </w:r>
      <w:r w:rsidR="00687B5F" w:rsidRPr="00170EB5">
        <w:rPr>
          <w:vertAlign w:val="superscript"/>
        </w:rPr>
        <w:t>9</w:t>
      </w:r>
      <w:r w:rsidR="00687B5F">
        <w:t xml:space="preserve"> Although it</w:t>
      </w:r>
      <w:r w:rsidR="00687B5F" w:rsidRPr="00170EB5">
        <w:t xml:space="preserve"> </w:t>
      </w:r>
      <w:r>
        <w:t xml:space="preserve">obviously </w:t>
      </w:r>
      <w:r w:rsidR="00687B5F">
        <w:t xml:space="preserve">affords </w:t>
      </w:r>
      <w:r w:rsidR="00613A9F">
        <w:t>polydisperse</w:t>
      </w:r>
      <w:r w:rsidR="009E0DAB" w:rsidRPr="00170EB5">
        <w:t xml:space="preserve"> </w:t>
      </w:r>
      <w:r w:rsidR="00687B5F">
        <w:t>mixtures of</w:t>
      </w:r>
      <w:r w:rsidR="00687B5F" w:rsidRPr="00170EB5">
        <w:t xml:space="preserve"> </w:t>
      </w:r>
      <w:r w:rsidR="00613A9F">
        <w:t xml:space="preserve">statistically glycosylates </w:t>
      </w:r>
      <w:r w:rsidR="00353BBC" w:rsidRPr="00170EB5">
        <w:t>adducts,</w:t>
      </w:r>
      <w:r w:rsidR="009E0DAB" w:rsidRPr="00170EB5">
        <w:t xml:space="preserve"> </w:t>
      </w:r>
      <w:r w:rsidR="00687B5F">
        <w:t>it</w:t>
      </w:r>
      <w:r w:rsidR="00353BBC" w:rsidRPr="00170EB5">
        <w:t xml:space="preserve"> is presumed</w:t>
      </w:r>
      <w:r w:rsidR="00081248">
        <w:t xml:space="preserve"> </w:t>
      </w:r>
      <w:r w:rsidR="00170EB5" w:rsidRPr="00170EB5">
        <w:t>that</w:t>
      </w:r>
      <w:r w:rsidR="009E0DAB" w:rsidRPr="00170EB5">
        <w:t xml:space="preserve"> differences in glycocluster topology at the molecular level would be blurred when considering the glycocoating corona in the nanocomplexes after self-assembling with pDNA.</w:t>
      </w:r>
      <w:r w:rsidR="00081248">
        <w:rPr>
          <w:vertAlign w:val="superscript"/>
        </w:rPr>
        <w:t>7</w:t>
      </w:r>
      <w:r w:rsidR="009E0DAB" w:rsidRPr="00170EB5">
        <w:t xml:space="preserve"> </w:t>
      </w:r>
      <w:r w:rsidR="00613A9F">
        <w:t>Indeed, t</w:t>
      </w:r>
      <w:r w:rsidR="00A7389C">
        <w:t xml:space="preserve">he scenario is very similar to that encounter </w:t>
      </w:r>
      <w:r w:rsidR="00613A9F">
        <w:t>for</w:t>
      </w:r>
      <w:r w:rsidR="00A7389C">
        <w:t xml:space="preserve"> </w:t>
      </w:r>
      <w:r w:rsidR="00613A9F">
        <w:t xml:space="preserve">statistic </w:t>
      </w:r>
      <w:r w:rsidR="00A7389C">
        <w:t>glycosylation of polymeric  or dendritic scaffolds</w:t>
      </w:r>
      <w:r w:rsidR="00613A9F">
        <w:t>, a routinely used strategy to generate multivalency</w:t>
      </w:r>
      <w:r w:rsidR="00A7389C">
        <w:t>.</w:t>
      </w:r>
      <w:r w:rsidR="00613A9F">
        <w:rPr>
          <w:vertAlign w:val="superscript"/>
        </w:rPr>
        <w:t>10,15,16</w:t>
      </w:r>
      <w:r w:rsidR="00A7389C">
        <w:t xml:space="preserve"> </w:t>
      </w:r>
      <w:r w:rsidR="00687B5F">
        <w:t>G</w:t>
      </w:r>
      <w:r w:rsidR="009E0DAB" w:rsidRPr="00170EB5">
        <w:t xml:space="preserve">lycotope </w:t>
      </w:r>
      <w:r w:rsidR="009E0DAB" w:rsidRPr="00170EB5">
        <w:lastRenderedPageBreak/>
        <w:t>density</w:t>
      </w:r>
      <w:r w:rsidR="00A7389C">
        <w:t xml:space="preserve"> </w:t>
      </w:r>
      <w:r w:rsidR="009E0DAB" w:rsidRPr="00170EB5">
        <w:t>is then expected to become the main parameter influencing</w:t>
      </w:r>
      <w:r w:rsidR="0082581F">
        <w:t xml:space="preserve"> specific</w:t>
      </w:r>
      <w:r w:rsidR="009E0DAB" w:rsidRPr="00170EB5">
        <w:t xml:space="preserve"> lectin recognition</w:t>
      </w:r>
      <w:r w:rsidR="0082581F">
        <w:t xml:space="preserve"> and </w:t>
      </w:r>
      <w:r w:rsidR="00A7389C">
        <w:t>gene delivery properties</w:t>
      </w:r>
      <w:r w:rsidR="009E0DAB" w:rsidRPr="00170EB5">
        <w:t>.</w:t>
      </w:r>
    </w:p>
    <w:p w:rsidR="009E0DAB" w:rsidRPr="009E0DAB" w:rsidRDefault="009E0DAB" w:rsidP="005F65A2">
      <w:pPr>
        <w:pStyle w:val="RSCB02ArticleText"/>
      </w:pPr>
    </w:p>
    <w:p w:rsidR="005C0267" w:rsidRDefault="000040EB" w:rsidP="005C0267">
      <w:pPr>
        <w:pStyle w:val="RSCB06BHeadingSub-Section"/>
      </w:pPr>
      <w:r>
        <w:t xml:space="preserve">2.2. </w:t>
      </w:r>
      <w:r w:rsidR="009E0DAB" w:rsidRPr="006C7788">
        <w:t>Self-assembling capabilities</w:t>
      </w:r>
      <w:r w:rsidR="005C0267" w:rsidRPr="00DC1746">
        <w:t>.</w:t>
      </w:r>
    </w:p>
    <w:p w:rsidR="00081248" w:rsidRPr="00081248" w:rsidRDefault="00081248" w:rsidP="0051026F">
      <w:pPr>
        <w:pStyle w:val="RSCB02ArticleText"/>
      </w:pPr>
      <w:r w:rsidRPr="00081248">
        <w:t xml:space="preserve">The influence of the mannosylation degree in the </w:t>
      </w:r>
      <w:r w:rsidR="00856661">
        <w:t>p</w:t>
      </w:r>
      <w:r w:rsidRPr="00081248">
        <w:t xml:space="preserve">DNA (luciferase-encoding pTG11236 plasmid) complexing capabilities of paCDs </w:t>
      </w:r>
      <w:r w:rsidRPr="00081248">
        <w:rPr>
          <w:b/>
        </w:rPr>
        <w:t>1a</w:t>
      </w:r>
      <w:r w:rsidRPr="00081248">
        <w:t>-</w:t>
      </w:r>
      <w:r w:rsidRPr="00081248">
        <w:rPr>
          <w:b/>
        </w:rPr>
        <w:t>e</w:t>
      </w:r>
      <w:r w:rsidRPr="00081248">
        <w:t xml:space="preserve"> and </w:t>
      </w:r>
      <w:r w:rsidRPr="00081248">
        <w:rPr>
          <w:b/>
        </w:rPr>
        <w:t>2a</w:t>
      </w:r>
      <w:r w:rsidRPr="00081248">
        <w:t>-</w:t>
      </w:r>
      <w:r w:rsidRPr="00081248">
        <w:rPr>
          <w:b/>
        </w:rPr>
        <w:t>e</w:t>
      </w:r>
      <w:r w:rsidRPr="00081248">
        <w:t xml:space="preserve"> was first screened by agarose gel electrophoresis migration experiments at different N/P ratios (1, 2, 5, and 10). No remarkable differences were noticed between the behaviour of triazol- (</w:t>
      </w:r>
      <w:r w:rsidRPr="00081248">
        <w:rPr>
          <w:b/>
        </w:rPr>
        <w:t>1a</w:t>
      </w:r>
      <w:r w:rsidRPr="00081248">
        <w:t>-</w:t>
      </w:r>
      <w:r w:rsidRPr="00081248">
        <w:rPr>
          <w:b/>
        </w:rPr>
        <w:t>e</w:t>
      </w:r>
      <w:r w:rsidRPr="00081248">
        <w:t>; Figure 2, left column) and thiourea-tethered (</w:t>
      </w:r>
      <w:r w:rsidRPr="00081248">
        <w:rPr>
          <w:b/>
        </w:rPr>
        <w:t>2a</w:t>
      </w:r>
      <w:r w:rsidRPr="00081248">
        <w:t>-</w:t>
      </w:r>
      <w:r w:rsidRPr="00081248">
        <w:rPr>
          <w:b/>
        </w:rPr>
        <w:t>e</w:t>
      </w:r>
      <w:r w:rsidRPr="00081248">
        <w:t>; Figure 2, right column) series. In general,</w:t>
      </w:r>
      <w:r w:rsidR="00AB1B17">
        <w:t xml:space="preserve"> mannosylation </w:t>
      </w:r>
      <w:r w:rsidR="00613A9F">
        <w:t xml:space="preserve">progressively </w:t>
      </w:r>
      <w:r w:rsidR="00AB1B17">
        <w:t>decrease</w:t>
      </w:r>
      <w:r w:rsidR="00613A9F">
        <w:t>s</w:t>
      </w:r>
      <w:r w:rsidR="00AB1B17">
        <w:t xml:space="preserve"> the ability to inhibit pDNA electrophoretic </w:t>
      </w:r>
      <w:r w:rsidR="00856661">
        <w:t>mobility</w:t>
      </w:r>
      <w:r w:rsidR="00AB1B17">
        <w:t xml:space="preserve"> of </w:t>
      </w:r>
      <w:r w:rsidR="00613A9F">
        <w:t xml:space="preserve">the </w:t>
      </w:r>
      <w:r w:rsidR="00AB1B17">
        <w:t xml:space="preserve">paCDs, which is better evidenced in the thiourea-tethered series (Figure 2, right column). Nevertheless, </w:t>
      </w:r>
      <w:r w:rsidR="00AB1B17" w:rsidRPr="00081248">
        <w:t>regardless of the</w:t>
      </w:r>
      <w:r w:rsidR="00AB1B17">
        <w:t>ir</w:t>
      </w:r>
      <w:r w:rsidR="00AB1B17" w:rsidRPr="00081248">
        <w:t xml:space="preserve"> mannosylation degree</w:t>
      </w:r>
      <w:r w:rsidR="00AB1B17">
        <w:t>,</w:t>
      </w:r>
      <w:r w:rsidR="00AB1B17" w:rsidRPr="00081248">
        <w:t xml:space="preserve"> all </w:t>
      </w:r>
      <w:r w:rsidR="00AB1B17">
        <w:t>glyco(paCDs)</w:t>
      </w:r>
      <w:r w:rsidR="00AB1B17" w:rsidRPr="00081248">
        <w:t xml:space="preserve"> inhibit</w:t>
      </w:r>
      <w:r w:rsidR="00AB1B17">
        <w:t>ed</w:t>
      </w:r>
      <w:r w:rsidR="00AB1B17" w:rsidRPr="00081248">
        <w:t xml:space="preserve"> electrophoretic </w:t>
      </w:r>
      <w:r w:rsidR="00AB1B17">
        <w:t>mobility</w:t>
      </w:r>
      <w:r w:rsidR="00AB1B17" w:rsidRPr="00081248">
        <w:t xml:space="preserve"> of pDNA at N/P ratio</w:t>
      </w:r>
      <w:r w:rsidR="00613A9F">
        <w:t>s</w:t>
      </w:r>
      <w:r w:rsidR="00AB1B17" w:rsidRPr="00081248">
        <w:t xml:space="preserve"> </w:t>
      </w:r>
      <w:r w:rsidR="00856661">
        <w:t>above</w:t>
      </w:r>
      <w:r w:rsidR="00AB1B17" w:rsidRPr="00081248">
        <w:t xml:space="preserve"> 2</w:t>
      </w:r>
      <w:r w:rsidR="00AB1B17">
        <w:t xml:space="preserve">. </w:t>
      </w:r>
      <w:r w:rsidR="0051026F">
        <w:t>Comparatively, t</w:t>
      </w:r>
      <w:r w:rsidR="00AB1B17">
        <w:t xml:space="preserve">he </w:t>
      </w:r>
      <w:r w:rsidR="0051026F">
        <w:t>pDNA protection against</w:t>
      </w:r>
      <w:r w:rsidR="00613A9F">
        <w:t xml:space="preserve"> the</w:t>
      </w:r>
      <w:r w:rsidR="0051026F">
        <w:t xml:space="preserve"> intercalating agent</w:t>
      </w:r>
      <w:r w:rsidR="00613A9F">
        <w:t xml:space="preserve"> </w:t>
      </w:r>
      <w:r w:rsidR="005370B9">
        <w:t>ethidium bromide</w:t>
      </w:r>
      <w:r w:rsidR="0051026F">
        <w:t xml:space="preserve"> is more </w:t>
      </w:r>
      <w:r w:rsidR="00AB1B17">
        <w:t>influence</w:t>
      </w:r>
      <w:r w:rsidR="0051026F">
        <w:t>d</w:t>
      </w:r>
      <w:r w:rsidR="00AB1B17">
        <w:t xml:space="preserve"> </w:t>
      </w:r>
      <w:r w:rsidR="0051026F">
        <w:t>by</w:t>
      </w:r>
      <w:r w:rsidR="00AB1B17">
        <w:t xml:space="preserve"> mannosylation</w:t>
      </w:r>
      <w:r w:rsidR="0051026F">
        <w:t>.</w:t>
      </w:r>
      <w:r w:rsidR="00AB1B17">
        <w:t xml:space="preserve"> </w:t>
      </w:r>
      <w:r w:rsidR="0051026F">
        <w:t xml:space="preserve">While pDNA is </w:t>
      </w:r>
      <w:r w:rsidR="00856661">
        <w:t xml:space="preserve">already </w:t>
      </w:r>
      <w:r w:rsidR="0051026F">
        <w:t>inaccessible to ethidium bromide at</w:t>
      </w:r>
      <w:r w:rsidR="00AB1B17" w:rsidRPr="00081248">
        <w:t xml:space="preserve"> </w:t>
      </w:r>
      <w:r w:rsidR="0051026F" w:rsidRPr="00081248">
        <w:t>N/P ≥2</w:t>
      </w:r>
      <w:r w:rsidR="007A058F">
        <w:t xml:space="preserve"> in formulations with </w:t>
      </w:r>
      <w:r w:rsidR="007A058F" w:rsidRPr="007A058F">
        <w:rPr>
          <w:b/>
        </w:rPr>
        <w:t>1a</w:t>
      </w:r>
      <w:r w:rsidR="007A058F">
        <w:t xml:space="preserve"> and </w:t>
      </w:r>
      <w:r w:rsidR="007A058F" w:rsidRPr="007A058F">
        <w:rPr>
          <w:b/>
        </w:rPr>
        <w:t>2a</w:t>
      </w:r>
      <w:r w:rsidR="007A058F">
        <w:t xml:space="preserve"> (Figure 2, first row),</w:t>
      </w:r>
      <w:r w:rsidR="0051026F">
        <w:t xml:space="preserve"> N/P 5</w:t>
      </w:r>
      <w:r w:rsidR="00FC48F9">
        <w:t xml:space="preserve"> ratios</w:t>
      </w:r>
      <w:r w:rsidR="0051026F">
        <w:t xml:space="preserve"> are required for most mannosylated adducts </w:t>
      </w:r>
      <w:r w:rsidR="00856661">
        <w:t>to attain the same protection</w:t>
      </w:r>
      <w:r w:rsidR="00FC48F9">
        <w:t xml:space="preserve">, mounting up to N/P 10 </w:t>
      </w:r>
      <w:r w:rsidR="0051026F">
        <w:t>for the more hea</w:t>
      </w:r>
      <w:r w:rsidR="007A058F">
        <w:t>v</w:t>
      </w:r>
      <w:r w:rsidR="0051026F">
        <w:t xml:space="preserve">ily mannosylated </w:t>
      </w:r>
      <w:r w:rsidR="00856661">
        <w:t xml:space="preserve">triazol-linked </w:t>
      </w:r>
      <w:r w:rsidR="0051026F">
        <w:t xml:space="preserve">glyco(paCD) </w:t>
      </w:r>
      <w:r w:rsidR="0051026F" w:rsidRPr="0051026F">
        <w:rPr>
          <w:b/>
        </w:rPr>
        <w:t>1e</w:t>
      </w:r>
      <w:r w:rsidR="0051026F">
        <w:t xml:space="preserve"> </w:t>
      </w:r>
      <w:r w:rsidR="00856661">
        <w:t>(</w:t>
      </w:r>
      <w:r w:rsidR="0051026F" w:rsidRPr="00081248">
        <w:t>50% mannosylation</w:t>
      </w:r>
      <w:r w:rsidR="0051026F">
        <w:t xml:space="preserve">). </w:t>
      </w:r>
      <w:r w:rsidR="00A41AC4">
        <w:t xml:space="preserve">Although </w:t>
      </w:r>
      <w:r w:rsidR="00856661">
        <w:t>electrostatic interaction</w:t>
      </w:r>
      <w:r w:rsidR="00BD7A3B">
        <w:t>s</w:t>
      </w:r>
      <w:r w:rsidR="00856661">
        <w:t xml:space="preserve"> </w:t>
      </w:r>
      <w:r w:rsidR="00A41AC4">
        <w:t xml:space="preserve">with the plasmid </w:t>
      </w:r>
      <w:r w:rsidR="00BD7A3B">
        <w:t xml:space="preserve">are </w:t>
      </w:r>
      <w:r w:rsidR="00856661">
        <w:t>preserved</w:t>
      </w:r>
      <w:r w:rsidR="00A41AC4">
        <w:t xml:space="preserve">, compaction is probably hampered as a consequence of the higher swelling capabilities imparted by the hydrophilic </w:t>
      </w:r>
      <w:r w:rsidR="005370B9">
        <w:t>s</w:t>
      </w:r>
      <w:r w:rsidR="00A41AC4">
        <w:t>ugar residues.</w:t>
      </w:r>
    </w:p>
    <w:p w:rsidR="000131B1" w:rsidRDefault="00A41AC4" w:rsidP="007260F1">
      <w:pPr>
        <w:pStyle w:val="RSCB02ArticleText"/>
      </w:pPr>
      <w:r>
        <w:t>T</w:t>
      </w:r>
      <w:r w:rsidR="00081248" w:rsidRPr="00081248">
        <w:t xml:space="preserve">he hydrodynamic size and ζ-potential of glycoCDplexes </w:t>
      </w:r>
      <w:r w:rsidR="00081248" w:rsidRPr="00081248">
        <w:rPr>
          <w:lang w:val="en-US"/>
        </w:rPr>
        <w:t xml:space="preserve">formulated at N/P values 5 and 10 </w:t>
      </w:r>
      <w:r w:rsidR="00081248" w:rsidRPr="00081248">
        <w:t xml:space="preserve">were next measured by dynamic light scattering (DLS) and </w:t>
      </w:r>
      <w:r w:rsidR="00081248" w:rsidRPr="00081248">
        <w:rPr>
          <w:lang w:val="en-US"/>
        </w:rPr>
        <w:t>mixed-mode measurement-phase analysis light scattering (M3-PALS), respectively</w:t>
      </w:r>
      <w:r w:rsidR="00081248" w:rsidRPr="00081248">
        <w:t xml:space="preserve">. </w:t>
      </w:r>
      <w:r w:rsidR="007260F1">
        <w:t xml:space="preserve">Dispersion of paCDs in a solution of pDNA in water furnished </w:t>
      </w:r>
      <w:r w:rsidR="00081248" w:rsidRPr="00081248">
        <w:t>single populations of rather homogenous nanoparticles (polydispersity index ≈ 0.2)</w:t>
      </w:r>
      <w:r w:rsidR="00BD7A3B">
        <w:t xml:space="preserve"> i</w:t>
      </w:r>
      <w:r w:rsidR="00BD7A3B" w:rsidRPr="00081248">
        <w:t>n all cases</w:t>
      </w:r>
      <w:r w:rsidR="00081248" w:rsidRPr="00081248">
        <w:t xml:space="preserve">. </w:t>
      </w:r>
      <w:r>
        <w:t>(</w:t>
      </w:r>
      <w:r w:rsidR="00081248" w:rsidRPr="00081248">
        <w:t>Glyco</w:t>
      </w:r>
      <w:r>
        <w:t>)</w:t>
      </w:r>
      <w:r w:rsidR="00081248" w:rsidRPr="00081248">
        <w:t xml:space="preserve">CDplexes obtained from triazol-containing paCDs </w:t>
      </w:r>
      <w:r w:rsidR="00081248" w:rsidRPr="00081248">
        <w:rPr>
          <w:b/>
        </w:rPr>
        <w:t>1a</w:t>
      </w:r>
      <w:r w:rsidR="00081248" w:rsidRPr="00081248">
        <w:t>-</w:t>
      </w:r>
      <w:r w:rsidR="00081248" w:rsidRPr="00081248">
        <w:rPr>
          <w:b/>
        </w:rPr>
        <w:t>e</w:t>
      </w:r>
      <w:r w:rsidR="00081248" w:rsidRPr="00081248">
        <w:t xml:space="preserve"> evidenced a gradual, though subtle, increase in size and a parallel decrease in ζ-potential upon increasing the mannosylation degree, </w:t>
      </w:r>
      <w:r>
        <w:t xml:space="preserve">which was </w:t>
      </w:r>
      <w:r w:rsidR="00081248" w:rsidRPr="00081248">
        <w:t xml:space="preserve">especially </w:t>
      </w:r>
      <w:r>
        <w:t xml:space="preserve">noticeable </w:t>
      </w:r>
      <w:r w:rsidR="00081248" w:rsidRPr="00081248">
        <w:t xml:space="preserve">for formulations at N/P 10 (Figure 3, left). It is worth mentioning that although an increase in sugar valency is accompanied by a decrease in the number of protonable amino groups in the glyco(paCD) conjugates, this has been compensated by normalizing at the same N/P ratio. The observed trend is probably due to the increase in the thickness of the hydration shell with heavier mannosylation, which is also expected to </w:t>
      </w:r>
      <w:r w:rsidR="00607930">
        <w:t>shield</w:t>
      </w:r>
      <w:r w:rsidR="00607930" w:rsidRPr="00081248">
        <w:t xml:space="preserve"> </w:t>
      </w:r>
      <w:r w:rsidR="00081248" w:rsidRPr="00081248">
        <w:t xml:space="preserve">the nanoparticle surface charge to some extent. The increase in size upon glycosylation was less evident in the thiourea-tethered conjugates </w:t>
      </w:r>
      <w:r w:rsidR="00081248" w:rsidRPr="00081248">
        <w:rPr>
          <w:b/>
        </w:rPr>
        <w:t>2a</w:t>
      </w:r>
      <w:r w:rsidR="00081248" w:rsidRPr="00081248">
        <w:t>-</w:t>
      </w:r>
      <w:r w:rsidR="00081248" w:rsidRPr="00081248">
        <w:rPr>
          <w:b/>
        </w:rPr>
        <w:t>e</w:t>
      </w:r>
      <w:r w:rsidR="00081248" w:rsidRPr="00081248">
        <w:t xml:space="preserve"> (Figure 3, right). In this case, a significant decrease in ζ-potential was already observed for the vector with the lower glycosylation rate (</w:t>
      </w:r>
      <w:r w:rsidR="00081248" w:rsidRPr="00081248">
        <w:rPr>
          <w:b/>
        </w:rPr>
        <w:t>2b</w:t>
      </w:r>
      <w:r w:rsidR="00081248" w:rsidRPr="00081248">
        <w:t>, 5% mannosylation), further increase</w:t>
      </w:r>
      <w:r w:rsidR="00607930">
        <w:t>s</w:t>
      </w:r>
      <w:r w:rsidR="00081248" w:rsidRPr="00081248">
        <w:t xml:space="preserve"> in valency having much more mode</w:t>
      </w:r>
      <w:r w:rsidR="00607930">
        <w:t>st consequences</w:t>
      </w:r>
      <w:r w:rsidR="00081248" w:rsidRPr="00081248">
        <w:t xml:space="preserve">. It is hypothesized that the higher flexibility of the linker in this series allows a better accommodation of the mannosyl residues in the </w:t>
      </w:r>
      <w:r w:rsidR="00081248" w:rsidRPr="00081248">
        <w:lastRenderedPageBreak/>
        <w:t>glycoCDplexes, minimizing the impact of glycosylation density variations.</w:t>
      </w:r>
    </w:p>
    <w:p w:rsidR="00081248" w:rsidRDefault="00081248" w:rsidP="00081248">
      <w:pPr>
        <w:pStyle w:val="RSCI02FigureSchemeChartwithtopbar"/>
        <w:jc w:val="center"/>
        <w:rPr>
          <w:b/>
        </w:rPr>
      </w:pPr>
      <w:r>
        <w:rPr>
          <w:noProof/>
          <w:lang w:val="es-ES" w:eastAsia="es-ES"/>
        </w:rPr>
        <w:drawing>
          <wp:inline distT="0" distB="0" distL="0" distR="0">
            <wp:extent cx="2395855" cy="6736715"/>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5855" cy="6736715"/>
                    </a:xfrm>
                    <a:prstGeom prst="rect">
                      <a:avLst/>
                    </a:prstGeom>
                    <a:noFill/>
                  </pic:spPr>
                </pic:pic>
              </a:graphicData>
            </a:graphic>
          </wp:inline>
        </w:drawing>
      </w:r>
    </w:p>
    <w:p w:rsidR="000131B1" w:rsidRDefault="00081248" w:rsidP="000131B1">
      <w:pPr>
        <w:pStyle w:val="RSCI05CaptiontoFigureSchemeChartwithbottombar"/>
      </w:pPr>
      <w:r>
        <w:rPr>
          <w:b/>
        </w:rPr>
        <w:t>Figure</w:t>
      </w:r>
      <w:r w:rsidR="000131B1" w:rsidRPr="006C7788">
        <w:rPr>
          <w:b/>
        </w:rPr>
        <w:t xml:space="preserve"> </w:t>
      </w:r>
      <w:r>
        <w:rPr>
          <w:b/>
        </w:rPr>
        <w:t>2</w:t>
      </w:r>
      <w:r w:rsidR="000131B1" w:rsidRPr="006C7788">
        <w:t xml:space="preserve">. </w:t>
      </w:r>
      <w:r w:rsidRPr="006C7788">
        <w:t>pDNA retardation in agarose gel vs mannosylation degree (</w:t>
      </w:r>
      <w:r>
        <w:t xml:space="preserve">from top to bottom, </w:t>
      </w:r>
      <w:r w:rsidRPr="006C7788">
        <w:t xml:space="preserve">0 to 50% of available primary amino groups, respectively) and N/P ratio (0 to 10, lanes 1 to 5 in each picture). Left and right columns collect data for paCD </w:t>
      </w:r>
      <w:r w:rsidRPr="006C7788">
        <w:rPr>
          <w:b/>
        </w:rPr>
        <w:t>1a</w:t>
      </w:r>
      <w:r w:rsidRPr="006C7788">
        <w:t>-</w:t>
      </w:r>
      <w:r w:rsidRPr="006C7788">
        <w:rPr>
          <w:b/>
        </w:rPr>
        <w:t>e</w:t>
      </w:r>
      <w:r w:rsidRPr="006C7788">
        <w:t xml:space="preserve"> and </w:t>
      </w:r>
      <w:r w:rsidRPr="006C7788">
        <w:rPr>
          <w:b/>
        </w:rPr>
        <w:t>2a</w:t>
      </w:r>
      <w:r w:rsidRPr="006C7788">
        <w:t>-</w:t>
      </w:r>
      <w:r w:rsidRPr="006C7788">
        <w:rPr>
          <w:b/>
        </w:rPr>
        <w:t>e</w:t>
      </w:r>
      <w:r>
        <w:t>, respectively</w:t>
      </w:r>
      <w:r w:rsidR="000131B1">
        <w:t>.</w:t>
      </w:r>
    </w:p>
    <w:p w:rsidR="00142C5D" w:rsidRDefault="00142C5D" w:rsidP="00142C5D">
      <w:pPr>
        <w:pStyle w:val="RSCI02FigureSchemeChartwithtopbar"/>
        <w:jc w:val="center"/>
        <w:rPr>
          <w:b/>
        </w:rPr>
      </w:pPr>
      <w:r>
        <w:rPr>
          <w:noProof/>
          <w:lang w:val="es-ES" w:eastAsia="es-ES"/>
        </w:rPr>
        <w:lastRenderedPageBreak/>
        <w:drawing>
          <wp:inline distT="0" distB="0" distL="0" distR="0">
            <wp:extent cx="3066415" cy="31578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6415" cy="3157855"/>
                    </a:xfrm>
                    <a:prstGeom prst="rect">
                      <a:avLst/>
                    </a:prstGeom>
                    <a:noFill/>
                  </pic:spPr>
                </pic:pic>
              </a:graphicData>
            </a:graphic>
          </wp:inline>
        </w:drawing>
      </w:r>
    </w:p>
    <w:p w:rsidR="00142C5D" w:rsidRDefault="00142C5D" w:rsidP="00142C5D">
      <w:pPr>
        <w:pStyle w:val="RSCI05CaptiontoFigureSchemeChartwithbottombar"/>
      </w:pPr>
      <w:r>
        <w:rPr>
          <w:b/>
        </w:rPr>
        <w:t>Figure</w:t>
      </w:r>
      <w:r w:rsidRPr="006C7788">
        <w:rPr>
          <w:b/>
        </w:rPr>
        <w:t xml:space="preserve"> </w:t>
      </w:r>
      <w:r>
        <w:rPr>
          <w:b/>
        </w:rPr>
        <w:t>3</w:t>
      </w:r>
      <w:r w:rsidRPr="006C7788">
        <w:t>. ζ-Potential (A) and hydrodynamic diameter (B) of statistically mannosylated CDplexes formulated at N/P 5 (white circles and empty bars) and 10 (filled squares and dotted bars) determined by M3-PALS and DLS, respectively</w:t>
      </w:r>
      <w:r>
        <w:t>.</w:t>
      </w:r>
    </w:p>
    <w:p w:rsidR="00142C5D" w:rsidRDefault="00142C5D" w:rsidP="00142C5D">
      <w:pPr>
        <w:pStyle w:val="RSCB02ArticleText"/>
      </w:pPr>
      <w:r w:rsidRPr="00142C5D">
        <w:rPr>
          <w:lang w:val="en-US"/>
        </w:rPr>
        <w:t xml:space="preserve">The effect of </w:t>
      </w:r>
      <w:r w:rsidR="007D706A">
        <w:rPr>
          <w:lang w:val="en-US"/>
        </w:rPr>
        <w:t xml:space="preserve">mannosylation extent </w:t>
      </w:r>
      <w:r w:rsidRPr="00142C5D">
        <w:rPr>
          <w:lang w:val="en-US"/>
        </w:rPr>
        <w:t xml:space="preserve">on the size and stability of the nanocomplexes </w:t>
      </w:r>
      <w:r w:rsidR="007D706A">
        <w:rPr>
          <w:lang w:val="en-US"/>
        </w:rPr>
        <w:t xml:space="preserve">formulated </w:t>
      </w:r>
      <w:r w:rsidRPr="00142C5D">
        <w:rPr>
          <w:lang w:val="en-US"/>
        </w:rPr>
        <w:t xml:space="preserve">with </w:t>
      </w:r>
      <w:r w:rsidR="007D706A">
        <w:rPr>
          <w:lang w:val="en-US"/>
        </w:rPr>
        <w:t xml:space="preserve">the paCD derivatives </w:t>
      </w:r>
      <w:r w:rsidR="007D706A" w:rsidRPr="00F83713">
        <w:rPr>
          <w:b/>
          <w:lang w:val="en-US"/>
        </w:rPr>
        <w:t>1a</w:t>
      </w:r>
      <w:r w:rsidR="007D706A">
        <w:rPr>
          <w:lang w:val="en-US"/>
        </w:rPr>
        <w:t>-</w:t>
      </w:r>
      <w:r w:rsidR="007D706A" w:rsidRPr="00F83713">
        <w:rPr>
          <w:b/>
          <w:lang w:val="en-US"/>
        </w:rPr>
        <w:t>e</w:t>
      </w:r>
      <w:r w:rsidR="007D706A">
        <w:rPr>
          <w:lang w:val="en-US"/>
        </w:rPr>
        <w:t xml:space="preserve"> and </w:t>
      </w:r>
      <w:r w:rsidR="007D706A" w:rsidRPr="00F83713">
        <w:rPr>
          <w:b/>
          <w:lang w:val="en-US"/>
        </w:rPr>
        <w:t>2a</w:t>
      </w:r>
      <w:r w:rsidR="007D706A">
        <w:rPr>
          <w:lang w:val="en-US"/>
        </w:rPr>
        <w:t>-</w:t>
      </w:r>
      <w:r w:rsidR="007D706A" w:rsidRPr="00F83713">
        <w:rPr>
          <w:b/>
          <w:lang w:val="en-US"/>
        </w:rPr>
        <w:t>e</w:t>
      </w:r>
      <w:r w:rsidR="007D706A">
        <w:rPr>
          <w:lang w:val="en-US"/>
        </w:rPr>
        <w:t xml:space="preserve"> and </w:t>
      </w:r>
      <w:r w:rsidRPr="00142C5D">
        <w:rPr>
          <w:lang w:val="en-US"/>
        </w:rPr>
        <w:t>pDNA in saline medium (up to 150 mM NaCl) was next investigated to further assess their behavior under physiological conditions.</w:t>
      </w:r>
      <w:r w:rsidRPr="00142C5D">
        <w:t xml:space="preserve"> As a general trend, mannosylation attenuated the effect of saline stress on the colloidal stability of glycoCDplexes, as seen from the less pronounced differences in size</w:t>
      </w:r>
      <w:r w:rsidR="007260F1">
        <w:t xml:space="preserve"> </w:t>
      </w:r>
      <w:r w:rsidR="007260F1" w:rsidRPr="00142C5D">
        <w:t>(Supplementary Information, Fig. S1</w:t>
      </w:r>
      <w:r w:rsidR="007260F1">
        <w:t>2</w:t>
      </w:r>
      <w:r w:rsidR="007260F1" w:rsidRPr="00142C5D">
        <w:t>)</w:t>
      </w:r>
      <w:r w:rsidRPr="00142C5D">
        <w:t xml:space="preserve">. </w:t>
      </w:r>
      <w:r w:rsidR="007D706A">
        <w:t>This result</w:t>
      </w:r>
      <w:r w:rsidR="00607930">
        <w:t xml:space="preserve"> is in agreement with previous reports on </w:t>
      </w:r>
      <w:r w:rsidR="00607930" w:rsidRPr="00142C5D">
        <w:t>glycocluster-based vectors</w:t>
      </w:r>
      <w:r w:rsidR="00607930">
        <w:rPr>
          <w:vertAlign w:val="superscript"/>
        </w:rPr>
        <w:t>10,17</w:t>
      </w:r>
      <w:r w:rsidR="00607930" w:rsidRPr="00142C5D">
        <w:t xml:space="preserve"> </w:t>
      </w:r>
      <w:r w:rsidR="00607930">
        <w:t>and reinforce</w:t>
      </w:r>
      <w:r w:rsidR="007D706A">
        <w:t>s</w:t>
      </w:r>
      <w:r w:rsidR="00607930">
        <w:t xml:space="preserve"> t</w:t>
      </w:r>
      <w:r w:rsidR="007D706A">
        <w:t>he notion that sugar coating</w:t>
      </w:r>
      <w:r w:rsidR="00607930">
        <w:t xml:space="preserve"> </w:t>
      </w:r>
      <w:r w:rsidRPr="00142C5D">
        <w:t>prevent</w:t>
      </w:r>
      <w:r w:rsidR="00607930">
        <w:t>s</w:t>
      </w:r>
      <w:r w:rsidRPr="00142C5D">
        <w:t xml:space="preserve"> non-specific aggregation phenomena</w:t>
      </w:r>
      <w:r w:rsidR="007D706A">
        <w:t>, probably by endowing the nanoparticles with a thicker</w:t>
      </w:r>
      <w:r w:rsidR="007D706A" w:rsidRPr="00142C5D">
        <w:t xml:space="preserve"> hydration shell</w:t>
      </w:r>
      <w:r w:rsidR="00607930">
        <w:t>.</w:t>
      </w:r>
      <w:r>
        <w:t xml:space="preserve"> </w:t>
      </w:r>
      <w:r w:rsidRPr="00142C5D">
        <w:t xml:space="preserve">The accessibility of </w:t>
      </w:r>
      <w:r w:rsidR="00143D56" w:rsidRPr="00142C5D">
        <w:t xml:space="preserve">ethidium bromide </w:t>
      </w:r>
      <w:r w:rsidR="00143D56">
        <w:t xml:space="preserve">to </w:t>
      </w:r>
      <w:r w:rsidRPr="00142C5D">
        <w:t xml:space="preserve">the pDNA cargo </w:t>
      </w:r>
      <w:r w:rsidR="00143D56">
        <w:t xml:space="preserve">in the most heavily mannosylated glycoCDplexes </w:t>
      </w:r>
      <w:r w:rsidR="00143D56" w:rsidRPr="00142C5D">
        <w:t>(</w:t>
      </w:r>
      <w:r w:rsidR="00143D56">
        <w:t xml:space="preserve">e.g. </w:t>
      </w:r>
      <w:r w:rsidR="00143D56" w:rsidRPr="00143D56">
        <w:rPr>
          <w:b/>
        </w:rPr>
        <w:t>1e</w:t>
      </w:r>
      <w:r w:rsidR="00143D56">
        <w:t>) increases under saline stress</w:t>
      </w:r>
      <w:r w:rsidRPr="00142C5D">
        <w:t xml:space="preserve"> (Supplementary Information, Fig. S13), </w:t>
      </w:r>
      <w:r w:rsidR="00143D56">
        <w:t xml:space="preserve">also pointing to </w:t>
      </w:r>
      <w:r w:rsidR="007D706A">
        <w:t xml:space="preserve">a non-optimal </w:t>
      </w:r>
      <w:r w:rsidR="00143D56">
        <w:t xml:space="preserve">hydrophilic/hydrophobic balance at such high mannose coating </w:t>
      </w:r>
      <w:r w:rsidR="007D706A">
        <w:t>densities</w:t>
      </w:r>
      <w:r w:rsidRPr="00142C5D">
        <w:t>.</w:t>
      </w:r>
    </w:p>
    <w:p w:rsidR="00505671" w:rsidRPr="00142C5D" w:rsidRDefault="00505671" w:rsidP="00142C5D">
      <w:pPr>
        <w:pStyle w:val="RSCB02ArticleText"/>
      </w:pPr>
    </w:p>
    <w:p w:rsidR="00142C5D" w:rsidRDefault="00505671" w:rsidP="00142C5D">
      <w:pPr>
        <w:pStyle w:val="RSCB06BHeadingSub-Section"/>
      </w:pPr>
      <w:r>
        <w:t xml:space="preserve">2.3. </w:t>
      </w:r>
      <w:r w:rsidR="00143D56" w:rsidRPr="00143D56">
        <w:t>Alveolar macrophage adhesion</w:t>
      </w:r>
      <w:r w:rsidR="00142C5D" w:rsidRPr="00143D56">
        <w:t>.</w:t>
      </w:r>
    </w:p>
    <w:p w:rsidR="00142C5D" w:rsidRPr="00142C5D" w:rsidRDefault="00142C5D" w:rsidP="00142C5D">
      <w:pPr>
        <w:pStyle w:val="RSCB02ArticleText"/>
      </w:pPr>
      <w:r w:rsidRPr="00142C5D">
        <w:t xml:space="preserve">The nominal valencies of the paCDs prepared and evaluated in this work, taken as individual entities, are 0, 0.7, 2.1, 4.2 and 7 for </w:t>
      </w:r>
      <w:r w:rsidRPr="00142C5D">
        <w:rPr>
          <w:b/>
        </w:rPr>
        <w:t>1a</w:t>
      </w:r>
      <w:r w:rsidRPr="00142C5D">
        <w:t xml:space="preserve"> and </w:t>
      </w:r>
      <w:r w:rsidRPr="00142C5D">
        <w:rPr>
          <w:b/>
        </w:rPr>
        <w:t>2a</w:t>
      </w:r>
      <w:r w:rsidRPr="00142C5D">
        <w:t xml:space="preserve"> to </w:t>
      </w:r>
      <w:r w:rsidRPr="00142C5D">
        <w:rPr>
          <w:b/>
        </w:rPr>
        <w:t>1e</w:t>
      </w:r>
      <w:r w:rsidRPr="00142C5D">
        <w:t xml:space="preserve"> and </w:t>
      </w:r>
      <w:r w:rsidRPr="00142C5D">
        <w:rPr>
          <w:b/>
        </w:rPr>
        <w:t>2e</w:t>
      </w:r>
      <w:r w:rsidR="008F542A">
        <w:t>, respectively.</w:t>
      </w:r>
      <w:r w:rsidRPr="00142C5D">
        <w:t xml:space="preserve"> According to results reported for non-amphiphlic CD-scaffolded glycoclusters,</w:t>
      </w:r>
      <w:r>
        <w:rPr>
          <w:vertAlign w:val="superscript"/>
        </w:rPr>
        <w:t>18</w:t>
      </w:r>
      <w:r w:rsidRPr="00142C5D">
        <w:t xml:space="preserve"> a significant multivalent effect would be expected only for the later derivatives. Yet, after supramolecular self-assembling in the presence of pDNA a hyper-valent display of mannosyl epitopes will be generated at the surface of the glycoCDplexes formulated with </w:t>
      </w:r>
      <w:r w:rsidRPr="00142C5D">
        <w:rPr>
          <w:b/>
        </w:rPr>
        <w:t>1b</w:t>
      </w:r>
      <w:r w:rsidRPr="00142C5D">
        <w:t>-</w:t>
      </w:r>
      <w:r w:rsidRPr="00142C5D">
        <w:rPr>
          <w:b/>
        </w:rPr>
        <w:t>e</w:t>
      </w:r>
      <w:r w:rsidRPr="00142C5D">
        <w:t xml:space="preserve"> and </w:t>
      </w:r>
      <w:r w:rsidRPr="00142C5D">
        <w:rPr>
          <w:b/>
        </w:rPr>
        <w:t>2b</w:t>
      </w:r>
      <w:r w:rsidRPr="00142C5D">
        <w:t>-</w:t>
      </w:r>
      <w:r w:rsidRPr="00142C5D">
        <w:rPr>
          <w:b/>
        </w:rPr>
        <w:t>e</w:t>
      </w:r>
      <w:r w:rsidRPr="00142C5D">
        <w:t>. We were particularly interested at investigating the minimum mannosylation rate leading to functional DNA nanocomplexes capable of eliciting a biologically significant binding to cells</w:t>
      </w:r>
      <w:r w:rsidR="0062460F">
        <w:t xml:space="preserve"> expressing the macrophage mannose receptor</w:t>
      </w:r>
      <w:r w:rsidRPr="00142C5D">
        <w:t xml:space="preserve">. For such purpose, </w:t>
      </w:r>
      <w:r w:rsidRPr="00142C5D">
        <w:lastRenderedPageBreak/>
        <w:t>glycoCDplexes were formulated using pDNA</w:t>
      </w:r>
      <w:r w:rsidR="007E7B2C">
        <w:t xml:space="preserve"> </w:t>
      </w:r>
      <w:r w:rsidR="0062460F">
        <w:t xml:space="preserve">labelled with the fluorescent probe </w:t>
      </w:r>
      <w:r w:rsidR="0062460F" w:rsidRPr="00142C5D">
        <w:t>YOYO-1</w:t>
      </w:r>
      <w:r w:rsidR="0062460F">
        <w:t xml:space="preserve"> </w:t>
      </w:r>
      <w:r w:rsidR="007E7B2C">
        <w:t>at N/P ratios 5 and 10.</w:t>
      </w:r>
      <w:r w:rsidRPr="00142C5D">
        <w:t xml:space="preserve"> </w:t>
      </w:r>
      <w:r w:rsidR="007E7B2C">
        <w:t>T</w:t>
      </w:r>
      <w:r w:rsidRPr="00142C5D">
        <w:t>he ability of these particles to adhere the surface of alveolar peritoneal macrophages at 4 ºC (to prevent endocytosis) was assessed by fluorescence intensity measurements (Figure 4).</w:t>
      </w:r>
      <w:r>
        <w:rPr>
          <w:vertAlign w:val="superscript"/>
        </w:rPr>
        <w:t>19</w:t>
      </w:r>
      <w:r w:rsidRPr="00142C5D">
        <w:t xml:space="preserve"> At the lower N/P ratio, a significant increase in fluorescence was noticed even at relatively low mannosylation ratios as compared to negative controls </w:t>
      </w:r>
      <w:r w:rsidR="007E7B2C">
        <w:t>(</w:t>
      </w:r>
      <w:r w:rsidRPr="00142C5D">
        <w:t xml:space="preserve">naked pDNA, non-glycosylated CDplexes formulated with paCDs </w:t>
      </w:r>
      <w:r w:rsidRPr="00142C5D">
        <w:rPr>
          <w:b/>
        </w:rPr>
        <w:t>1a</w:t>
      </w:r>
      <w:r w:rsidRPr="00142C5D">
        <w:t xml:space="preserve"> and </w:t>
      </w:r>
      <w:r w:rsidRPr="00142C5D">
        <w:rPr>
          <w:b/>
        </w:rPr>
        <w:t>2a</w:t>
      </w:r>
      <w:r w:rsidR="007E7B2C">
        <w:t xml:space="preserve">, </w:t>
      </w:r>
      <w:r w:rsidRPr="00142C5D">
        <w:t>and polyplexes formulated with the commercial vector JetPEI</w:t>
      </w:r>
      <w:r w:rsidR="000F1081">
        <w:t>)</w:t>
      </w:r>
      <w:r w:rsidRPr="00142C5D">
        <w:t>.</w:t>
      </w:r>
      <w:r w:rsidRPr="00142C5D">
        <w:rPr>
          <w:vertAlign w:val="superscript"/>
        </w:rPr>
        <w:t>2</w:t>
      </w:r>
      <w:r>
        <w:rPr>
          <w:vertAlign w:val="superscript"/>
        </w:rPr>
        <w:t>0</w:t>
      </w:r>
      <w:r w:rsidRPr="00142C5D">
        <w:t xml:space="preserve"> Interestingly, fluorescence intensity plateaued at ca. 15-30% mannosylation (</w:t>
      </w:r>
      <w:r w:rsidRPr="00142C5D">
        <w:rPr>
          <w:b/>
        </w:rPr>
        <w:t>1c</w:t>
      </w:r>
      <w:r w:rsidRPr="00142C5D">
        <w:t xml:space="preserve">, </w:t>
      </w:r>
      <w:r w:rsidRPr="00142C5D">
        <w:rPr>
          <w:b/>
        </w:rPr>
        <w:t>2c</w:t>
      </w:r>
      <w:r w:rsidRPr="00142C5D">
        <w:t xml:space="preserve"> and </w:t>
      </w:r>
      <w:r w:rsidRPr="00142C5D">
        <w:rPr>
          <w:b/>
        </w:rPr>
        <w:t>1d</w:t>
      </w:r>
      <w:r w:rsidRPr="00142C5D">
        <w:t xml:space="preserve">, </w:t>
      </w:r>
      <w:r w:rsidRPr="00142C5D">
        <w:rPr>
          <w:b/>
        </w:rPr>
        <w:t>2d</w:t>
      </w:r>
      <w:r w:rsidRPr="00142C5D">
        <w:t xml:space="preserve">), with residual increase at higher glycan ratios. Indeed, similar macrophage adhesion levels were obtained for the positive control, the homogeneously </w:t>
      </w:r>
      <w:r w:rsidR="0062460F">
        <w:t xml:space="preserve">50% </w:t>
      </w:r>
      <w:r w:rsidRPr="00142C5D">
        <w:t xml:space="preserve">mannosylated paCD </w:t>
      </w:r>
      <w:r w:rsidRPr="00142C5D">
        <w:rPr>
          <w:b/>
        </w:rPr>
        <w:t>4</w:t>
      </w:r>
      <w:r w:rsidRPr="00142C5D">
        <w:t xml:space="preserve"> (Scheme 1). At N/P 10, though the tendency is similar, the contrast is lower, due to the higher background of non-specific electrostatic interactions. As it could be expected, the higher the cationic content, the lower the contribution of specific interactions to the overall adhesion process, a phenomenon already described for a variety of cationic gene carriers.</w:t>
      </w:r>
      <w:r w:rsidRPr="00142C5D">
        <w:rPr>
          <w:vertAlign w:val="superscript"/>
        </w:rPr>
        <w:t>2</w:t>
      </w:r>
      <w:r w:rsidR="00840845">
        <w:rPr>
          <w:vertAlign w:val="superscript"/>
        </w:rPr>
        <w:t>1</w:t>
      </w:r>
      <w:r w:rsidRPr="00142C5D">
        <w:t xml:space="preserve"> </w:t>
      </w:r>
    </w:p>
    <w:p w:rsidR="000131B1" w:rsidRDefault="00840845" w:rsidP="00840845">
      <w:pPr>
        <w:pStyle w:val="RSCI02FigureSchemeChartwithtopbar"/>
        <w:jc w:val="center"/>
      </w:pPr>
      <w:r>
        <w:rPr>
          <w:noProof/>
          <w:lang w:val="es-ES" w:eastAsia="es-ES"/>
        </w:rPr>
        <w:drawing>
          <wp:inline distT="0" distB="0" distL="0" distR="0">
            <wp:extent cx="3030220" cy="187134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0220" cy="1871345"/>
                    </a:xfrm>
                    <a:prstGeom prst="rect">
                      <a:avLst/>
                    </a:prstGeom>
                    <a:noFill/>
                  </pic:spPr>
                </pic:pic>
              </a:graphicData>
            </a:graphic>
          </wp:inline>
        </w:drawing>
      </w:r>
    </w:p>
    <w:p w:rsidR="00840845" w:rsidRDefault="00840845" w:rsidP="00840845">
      <w:pPr>
        <w:pStyle w:val="RSCI01FigureSchemeChartwithbottombar"/>
      </w:pPr>
      <w:r w:rsidRPr="00E17BE0">
        <w:rPr>
          <w:b/>
        </w:rPr>
        <w:t>Figure 4</w:t>
      </w:r>
      <w:r w:rsidRPr="00E17BE0">
        <w:t xml:space="preserve">. Adhesion to alveolar </w:t>
      </w:r>
      <w:r w:rsidRPr="009E660F">
        <w:t xml:space="preserve">peritoneal macrophages (mice) of statistically mannosylated CDplexes </w:t>
      </w:r>
      <w:r w:rsidRPr="006C7788">
        <w:rPr>
          <w:b/>
        </w:rPr>
        <w:t>1a</w:t>
      </w:r>
      <w:r w:rsidRPr="006C7788">
        <w:t>-</w:t>
      </w:r>
      <w:r w:rsidRPr="006C7788">
        <w:rPr>
          <w:b/>
        </w:rPr>
        <w:t>e</w:t>
      </w:r>
      <w:r w:rsidRPr="006C7788">
        <w:t xml:space="preserve"> and </w:t>
      </w:r>
      <w:r w:rsidRPr="006C7788">
        <w:rPr>
          <w:b/>
        </w:rPr>
        <w:t>2a</w:t>
      </w:r>
      <w:r w:rsidRPr="006C7788">
        <w:t>-</w:t>
      </w:r>
      <w:r w:rsidRPr="006C7788">
        <w:rPr>
          <w:b/>
        </w:rPr>
        <w:t>e</w:t>
      </w:r>
      <w:r w:rsidRPr="006C7788">
        <w:t xml:space="preserve"> formulated at N/P ratio 5 (white bars) and 10 (grey bars) vs. naked pDNA. JetPEI polyplexes and </w:t>
      </w:r>
      <w:r w:rsidRPr="006C7788">
        <w:rPr>
          <w:b/>
        </w:rPr>
        <w:t>4</w:t>
      </w:r>
      <w:r w:rsidRPr="006C7788">
        <w:t>:pDNA CDplexes formulated at the same N/P ratio were used as negative and positive controls, respectively</w:t>
      </w:r>
      <w:r>
        <w:t>.</w:t>
      </w:r>
    </w:p>
    <w:p w:rsidR="00840845" w:rsidRDefault="00840845" w:rsidP="00955FD0">
      <w:pPr>
        <w:pStyle w:val="RSCB02ArticleText"/>
      </w:pPr>
      <w:r w:rsidRPr="006C7788">
        <w:t>To confirm the specificity of the interactions at play, the above experiments were run in the presence of native and mannosylated-BSA (Man-BSA) as competing agents</w:t>
      </w:r>
      <w:r w:rsidR="00911F26">
        <w:t>, using the optimal N/P ratio 5</w:t>
      </w:r>
      <w:r w:rsidRPr="006C7788">
        <w:t xml:space="preserve">. A </w:t>
      </w:r>
      <w:r>
        <w:t>mannose concentration</w:t>
      </w:r>
      <w:r w:rsidRPr="006C7788">
        <w:t>-dependent inhibition of glycoCDplex adhesion to the macrophages was observed for the later, with fluorescence intensity values reduced to basal levels in the presence of 1 mg·mL</w:t>
      </w:r>
      <w:r w:rsidRPr="006C7788">
        <w:rPr>
          <w:vertAlign w:val="superscript"/>
        </w:rPr>
        <w:t>-1</w:t>
      </w:r>
      <w:r w:rsidRPr="006C7788">
        <w:t xml:space="preserve"> of Man-BSA (Figure 5). On the other hand, native BSA minimally affected adhesion. Neither BSA nor Man-BSA significantly affected the adhesion of JetPEI polyplexes and non-mannosylated CDplexes to macrophages, altogether strongly supporting the involvement of specific mannose-MMR recognition in the a</w:t>
      </w:r>
      <w:r>
        <w:t>d</w:t>
      </w:r>
      <w:r w:rsidRPr="009E660F">
        <w:t xml:space="preserve">hesion of the glycoCDplexes formulated with </w:t>
      </w:r>
      <w:r w:rsidRPr="009E660F">
        <w:rPr>
          <w:b/>
        </w:rPr>
        <w:t>1b</w:t>
      </w:r>
      <w:r w:rsidRPr="009E660F">
        <w:t>-</w:t>
      </w:r>
      <w:r w:rsidRPr="009E660F">
        <w:rPr>
          <w:b/>
        </w:rPr>
        <w:t>e</w:t>
      </w:r>
      <w:r w:rsidRPr="009E660F">
        <w:t xml:space="preserve"> and </w:t>
      </w:r>
      <w:r w:rsidRPr="009E660F">
        <w:rPr>
          <w:b/>
        </w:rPr>
        <w:t>2b</w:t>
      </w:r>
      <w:r w:rsidRPr="009E660F">
        <w:t>-</w:t>
      </w:r>
      <w:r w:rsidRPr="009E660F">
        <w:rPr>
          <w:b/>
        </w:rPr>
        <w:t>e</w:t>
      </w:r>
      <w:r w:rsidRPr="009E660F">
        <w:t xml:space="preserve"> to the </w:t>
      </w:r>
      <w:r>
        <w:t>macrophages</w:t>
      </w:r>
      <w:r w:rsidRPr="009E660F">
        <w:t>.</w:t>
      </w:r>
      <w:r w:rsidR="000F1081">
        <w:t xml:space="preserve"> </w:t>
      </w:r>
    </w:p>
    <w:p w:rsidR="00840845" w:rsidRPr="009E660F" w:rsidRDefault="00840845" w:rsidP="00840845">
      <w:pPr>
        <w:pStyle w:val="RSCI02FigureSchemeChartwithtopbar"/>
        <w:jc w:val="center"/>
      </w:pPr>
      <w:r w:rsidRPr="009E660F">
        <w:rPr>
          <w:noProof/>
          <w:lang w:val="es-ES" w:eastAsia="es-ES"/>
        </w:rPr>
        <w:lastRenderedPageBreak/>
        <w:drawing>
          <wp:inline distT="0" distB="0" distL="0" distR="0">
            <wp:extent cx="2988000" cy="1853038"/>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8000" cy="1853038"/>
                    </a:xfrm>
                    <a:prstGeom prst="rect">
                      <a:avLst/>
                    </a:prstGeom>
                    <a:noFill/>
                  </pic:spPr>
                </pic:pic>
              </a:graphicData>
            </a:graphic>
          </wp:inline>
        </w:drawing>
      </w:r>
    </w:p>
    <w:p w:rsidR="00840845" w:rsidRPr="009E660F" w:rsidRDefault="00840845" w:rsidP="00840845">
      <w:pPr>
        <w:pStyle w:val="RSCI03FigureSchemeChartUncaptioned"/>
      </w:pPr>
      <w:r w:rsidRPr="009E660F">
        <w:rPr>
          <w:noProof/>
          <w:lang w:val="es-ES" w:eastAsia="es-ES"/>
        </w:rPr>
        <w:drawing>
          <wp:inline distT="0" distB="0" distL="0" distR="0">
            <wp:extent cx="2988000" cy="1853038"/>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8000" cy="1853038"/>
                    </a:xfrm>
                    <a:prstGeom prst="rect">
                      <a:avLst/>
                    </a:prstGeom>
                    <a:noFill/>
                  </pic:spPr>
                </pic:pic>
              </a:graphicData>
            </a:graphic>
          </wp:inline>
        </w:drawing>
      </w:r>
    </w:p>
    <w:p w:rsidR="00840845" w:rsidRPr="006C7788" w:rsidRDefault="00840845" w:rsidP="00840845">
      <w:pPr>
        <w:pStyle w:val="RSCI05CaptiontoFigureSchemeChartwithbottombar"/>
      </w:pPr>
      <w:r w:rsidRPr="006C7788">
        <w:rPr>
          <w:b/>
        </w:rPr>
        <w:t>Figure 5</w:t>
      </w:r>
      <w:r w:rsidRPr="006C7788">
        <w:t xml:space="preserve">. Adhesion of CDplexes </w:t>
      </w:r>
      <w:r w:rsidRPr="006C7788">
        <w:rPr>
          <w:b/>
        </w:rPr>
        <w:t>1a</w:t>
      </w:r>
      <w:r w:rsidRPr="006C7788">
        <w:t>-</w:t>
      </w:r>
      <w:r w:rsidRPr="006C7788">
        <w:rPr>
          <w:b/>
        </w:rPr>
        <w:t>e</w:t>
      </w:r>
      <w:r w:rsidRPr="006C7788">
        <w:t xml:space="preserve"> (A) and </w:t>
      </w:r>
      <w:r w:rsidRPr="006C7788">
        <w:rPr>
          <w:b/>
        </w:rPr>
        <w:t>2a</w:t>
      </w:r>
      <w:r w:rsidRPr="006C7788">
        <w:t>-</w:t>
      </w:r>
      <w:r w:rsidRPr="006C7788">
        <w:rPr>
          <w:b/>
        </w:rPr>
        <w:t>e</w:t>
      </w:r>
      <w:r w:rsidRPr="006C7788">
        <w:t xml:space="preserve"> (B) formulated at N/P 5 in the absence </w:t>
      </w:r>
      <w:r w:rsidR="005F4454">
        <w:t xml:space="preserve">of BSA </w:t>
      </w:r>
      <w:r w:rsidRPr="006C7788">
        <w:t>(white bars)</w:t>
      </w:r>
      <w:r w:rsidR="005F4454">
        <w:t>,</w:t>
      </w:r>
      <w:r w:rsidRPr="006C7788">
        <w:t xml:space="preserve"> </w:t>
      </w:r>
      <w:r w:rsidR="005F4454">
        <w:t xml:space="preserve">in the presence of </w:t>
      </w:r>
      <w:r w:rsidR="005F4454" w:rsidRPr="006C7788">
        <w:t>mannosylated-BSA (0.1 and 1 mg·mL</w:t>
      </w:r>
      <w:r w:rsidR="005F4454" w:rsidRPr="006C7788">
        <w:rPr>
          <w:vertAlign w:val="superscript"/>
        </w:rPr>
        <w:t>-1</w:t>
      </w:r>
      <w:r w:rsidR="005F4454" w:rsidRPr="006C7788">
        <w:t>, dotted and slashed bars, respectively)</w:t>
      </w:r>
      <w:r w:rsidR="005F4454">
        <w:t xml:space="preserve"> or</w:t>
      </w:r>
      <w:r w:rsidR="005F4454" w:rsidRPr="006C7788">
        <w:t xml:space="preserve"> </w:t>
      </w:r>
      <w:r w:rsidRPr="006C7788">
        <w:t>in the presence of native</w:t>
      </w:r>
      <w:r>
        <w:t xml:space="preserve"> BSA</w:t>
      </w:r>
      <w:r w:rsidRPr="006C7788">
        <w:t xml:space="preserve"> (grey bars)</w:t>
      </w:r>
      <w:r w:rsidR="005F4454">
        <w:t>.</w:t>
      </w:r>
      <w:r w:rsidRPr="006C7788">
        <w:t xml:space="preserve"> JetPEI polyplexes and </w:t>
      </w:r>
      <w:r w:rsidRPr="006C7788">
        <w:rPr>
          <w:b/>
        </w:rPr>
        <w:t>4</w:t>
      </w:r>
      <w:r w:rsidRPr="006C7788">
        <w:t>:pDNA CDplexes formulated at the same N/P ratio were used as negative and positive controls, respectively.</w:t>
      </w:r>
    </w:p>
    <w:p w:rsidR="00840845" w:rsidRDefault="00505671" w:rsidP="00840845">
      <w:pPr>
        <w:pStyle w:val="RSCB06BHeadingSub-Section"/>
      </w:pPr>
      <w:r>
        <w:t xml:space="preserve">2.4. </w:t>
      </w:r>
      <w:r w:rsidR="00840845" w:rsidRPr="00840845">
        <w:t>Cell transfection</w:t>
      </w:r>
      <w:r w:rsidR="00840845" w:rsidRPr="00DC1746">
        <w:t>.</w:t>
      </w:r>
    </w:p>
    <w:p w:rsidR="007A69D4" w:rsidRDefault="00B30AF1" w:rsidP="007A69D4">
      <w:pPr>
        <w:pStyle w:val="RSCB02ArticleText"/>
      </w:pPr>
      <w:r>
        <w:t>CDplexes formulated at N/P 5 with luciferase-encoding pDNA</w:t>
      </w:r>
      <w:r w:rsidRPr="00DF704E">
        <w:t xml:space="preserve"> </w:t>
      </w:r>
      <w:r>
        <w:t>(</w:t>
      </w:r>
      <w:r w:rsidRPr="006C7788">
        <w:t>pTG11236</w:t>
      </w:r>
      <w:r>
        <w:t xml:space="preserve">) and the </w:t>
      </w:r>
      <w:r w:rsidR="00FB0259">
        <w:t>multivalent paCD vectors having 15 and 30% of the primary amino groups replaced by mannosyl antennae (</w:t>
      </w:r>
      <w:r w:rsidR="00FB0259" w:rsidRPr="00F83713">
        <w:rPr>
          <w:b/>
        </w:rPr>
        <w:t>1c</w:t>
      </w:r>
      <w:r w:rsidR="00FB0259">
        <w:t xml:space="preserve">, </w:t>
      </w:r>
      <w:r w:rsidR="00FB0259" w:rsidRPr="00F83713">
        <w:rPr>
          <w:b/>
        </w:rPr>
        <w:t>2c</w:t>
      </w:r>
      <w:r w:rsidR="00FB0259">
        <w:t xml:space="preserve"> and </w:t>
      </w:r>
      <w:r w:rsidR="00FB0259" w:rsidRPr="00F83713">
        <w:rPr>
          <w:b/>
        </w:rPr>
        <w:t>1d</w:t>
      </w:r>
      <w:r w:rsidR="00FB0259">
        <w:t xml:space="preserve">, </w:t>
      </w:r>
      <w:r w:rsidR="00FB0259" w:rsidRPr="00F83713">
        <w:rPr>
          <w:b/>
        </w:rPr>
        <w:t>2d</w:t>
      </w:r>
      <w:r w:rsidR="00FB0259">
        <w:t>, respectively</w:t>
      </w:r>
      <w:r>
        <w:t xml:space="preserve">) were selected for cell transfection assays. According to the previously discussed results, these formulations exhibit the best balance </w:t>
      </w:r>
      <w:r w:rsidR="00C04777">
        <w:t xml:space="preserve">between pDNA protection, colloidal </w:t>
      </w:r>
      <w:r>
        <w:t>stability and MMR-binding efficiency, which was expected to</w:t>
      </w:r>
      <w:r w:rsidR="00801C5C">
        <w:t xml:space="preserve"> maximize receptor-mediated versus non-specific (electrostatic-mediated) </w:t>
      </w:r>
      <w:r w:rsidR="00801C5C" w:rsidRPr="00F83713">
        <w:t xml:space="preserve">cell uptake. </w:t>
      </w:r>
      <w:r w:rsidRPr="00F83713">
        <w:t xml:space="preserve">Transfection was monitored in MMR-positive </w:t>
      </w:r>
      <w:r w:rsidRPr="00F83713">
        <w:rPr>
          <w:rStyle w:val="st1"/>
          <w:rFonts w:cs="Arial"/>
        </w:rPr>
        <w:t xml:space="preserve">mouse leukaemic monocyte </w:t>
      </w:r>
      <w:r w:rsidRPr="00F83713">
        <w:rPr>
          <w:rStyle w:val="nfasis"/>
          <w:rFonts w:cs="Arial"/>
          <w:b w:val="0"/>
        </w:rPr>
        <w:t>macrophage</w:t>
      </w:r>
      <w:r w:rsidRPr="00F83713">
        <w:t xml:space="preserve">s (RAW 264.7) and in MMR-devoid embryonic murine </w:t>
      </w:r>
      <w:r w:rsidRPr="00F83713">
        <w:rPr>
          <w:bCs/>
        </w:rPr>
        <w:t>hepatocyte</w:t>
      </w:r>
      <w:r w:rsidRPr="00F83713">
        <w:t>s</w:t>
      </w:r>
      <w:r w:rsidRPr="00F83713" w:rsidDel="00A24EAA">
        <w:t xml:space="preserve"> </w:t>
      </w:r>
      <w:r w:rsidRPr="00F83713">
        <w:t xml:space="preserve">(BNL-CL2) and </w:t>
      </w:r>
      <w:r w:rsidRPr="00F83713">
        <w:rPr>
          <w:rStyle w:val="st1"/>
          <w:rFonts w:cs="Arial"/>
        </w:rPr>
        <w:t xml:space="preserve">African green monkey </w:t>
      </w:r>
      <w:r w:rsidR="005B5D73" w:rsidRPr="00F83713">
        <w:rPr>
          <w:rStyle w:val="st1"/>
          <w:rFonts w:cs="Arial"/>
        </w:rPr>
        <w:t xml:space="preserve">kidney </w:t>
      </w:r>
      <w:r w:rsidRPr="00F83713">
        <w:rPr>
          <w:rStyle w:val="st1"/>
          <w:rFonts w:cs="Arial"/>
        </w:rPr>
        <w:t>fibroblasts</w:t>
      </w:r>
      <w:r w:rsidRPr="00F83713">
        <w:rPr>
          <w:rStyle w:val="st1"/>
          <w:rFonts w:ascii="Arial" w:hAnsi="Arial" w:cs="Arial"/>
        </w:rPr>
        <w:t xml:space="preserve"> (</w:t>
      </w:r>
      <w:r w:rsidRPr="00F83713">
        <w:t>COS-7).</w:t>
      </w:r>
      <w:r w:rsidR="007A69D4" w:rsidRPr="00F83713">
        <w:t xml:space="preserve"> </w:t>
      </w:r>
      <w:r w:rsidR="00801C5C" w:rsidRPr="00F83713">
        <w:t>In all three cell lines a</w:t>
      </w:r>
      <w:r w:rsidR="007A69D4" w:rsidRPr="00F83713">
        <w:t>n</w:t>
      </w:r>
      <w:r w:rsidR="00801C5C" w:rsidRPr="00F83713">
        <w:t xml:space="preserve">d for all formulation, cell viabilities were determined to be </w:t>
      </w:r>
      <w:r w:rsidR="00C04777">
        <w:t>above</w:t>
      </w:r>
      <w:r w:rsidR="00C04777" w:rsidRPr="00F83713">
        <w:t xml:space="preserve"> </w:t>
      </w:r>
      <w:r w:rsidR="00801C5C" w:rsidRPr="00F83713">
        <w:t>80%</w:t>
      </w:r>
      <w:r w:rsidR="00801C5C">
        <w:t>.</w:t>
      </w:r>
      <w:r w:rsidR="007A69D4">
        <w:t xml:space="preserve"> The corresponding </w:t>
      </w:r>
      <w:r w:rsidR="005F4454">
        <w:t xml:space="preserve">luciferase expression </w:t>
      </w:r>
      <w:r w:rsidR="007A69D4">
        <w:t>data</w:t>
      </w:r>
      <w:r w:rsidR="00840845" w:rsidRPr="006C7788">
        <w:t xml:space="preserve"> are plotted in Figure 6</w:t>
      </w:r>
      <w:r w:rsidR="00C04777">
        <w:t>. N</w:t>
      </w:r>
      <w:r w:rsidR="00C04777" w:rsidRPr="006C7788">
        <w:t xml:space="preserve">aked </w:t>
      </w:r>
      <w:r w:rsidR="00840845" w:rsidRPr="006C7788">
        <w:t xml:space="preserve">pDNA and JetPEI polyplexes </w:t>
      </w:r>
      <w:r w:rsidR="007A69D4">
        <w:t xml:space="preserve">formulated </w:t>
      </w:r>
      <w:r w:rsidR="00840845" w:rsidRPr="006C7788">
        <w:t xml:space="preserve">at N/P </w:t>
      </w:r>
      <w:r w:rsidR="00C04777">
        <w:t>5</w:t>
      </w:r>
      <w:r w:rsidR="00840845" w:rsidRPr="006C7788">
        <w:t xml:space="preserve"> </w:t>
      </w:r>
      <w:r w:rsidR="00C04777">
        <w:t xml:space="preserve">were used </w:t>
      </w:r>
      <w:r w:rsidR="00840845" w:rsidRPr="006C7788">
        <w:t>as negative and positive controls, respectively</w:t>
      </w:r>
      <w:r w:rsidR="00C04777">
        <w:t xml:space="preserve"> (see Supplementary Information</w:t>
      </w:r>
      <w:r w:rsidR="002005D1">
        <w:t xml:space="preserve"> for experimental details</w:t>
      </w:r>
      <w:r w:rsidR="00C04777">
        <w:t>)</w:t>
      </w:r>
      <w:r w:rsidR="00840845" w:rsidRPr="006C7788">
        <w:t xml:space="preserve">. </w:t>
      </w:r>
    </w:p>
    <w:p w:rsidR="00840845" w:rsidRPr="006C7788" w:rsidRDefault="00840845" w:rsidP="007A69D4">
      <w:pPr>
        <w:pStyle w:val="RSCB02ArticleText"/>
      </w:pPr>
      <w:r w:rsidRPr="006C7788">
        <w:t>The</w:t>
      </w:r>
      <w:r>
        <w:t xml:space="preserve"> graphs</w:t>
      </w:r>
      <w:r w:rsidRPr="009E660F">
        <w:t xml:space="preserve"> depict two different scenarios</w:t>
      </w:r>
      <w:r w:rsidRPr="006C7788">
        <w:t xml:space="preserve"> depending on the presence of triazol (</w:t>
      </w:r>
      <w:r w:rsidRPr="006C7788">
        <w:rPr>
          <w:b/>
        </w:rPr>
        <w:t>1a</w:t>
      </w:r>
      <w:r w:rsidRPr="006C7788">
        <w:t xml:space="preserve">, </w:t>
      </w:r>
      <w:r w:rsidRPr="006C7788">
        <w:rPr>
          <w:b/>
        </w:rPr>
        <w:t>1c</w:t>
      </w:r>
      <w:r w:rsidRPr="006C7788">
        <w:t xml:space="preserve"> and </w:t>
      </w:r>
      <w:r w:rsidRPr="006C7788">
        <w:rPr>
          <w:b/>
        </w:rPr>
        <w:t>1d</w:t>
      </w:r>
      <w:r w:rsidRPr="006C7788">
        <w:t>) or thiourea linkers (</w:t>
      </w:r>
      <w:r w:rsidRPr="006C7788">
        <w:rPr>
          <w:b/>
        </w:rPr>
        <w:t>2a</w:t>
      </w:r>
      <w:r w:rsidRPr="006C7788">
        <w:t xml:space="preserve">, </w:t>
      </w:r>
      <w:r w:rsidRPr="006C7788">
        <w:rPr>
          <w:b/>
        </w:rPr>
        <w:t>2c</w:t>
      </w:r>
      <w:r w:rsidRPr="006C7788">
        <w:t xml:space="preserve"> and </w:t>
      </w:r>
      <w:r w:rsidRPr="006C7788">
        <w:rPr>
          <w:b/>
        </w:rPr>
        <w:t>2d</w:t>
      </w:r>
      <w:r w:rsidR="00DF2A74">
        <w:t xml:space="preserve">). In </w:t>
      </w:r>
      <w:r w:rsidRPr="006C7788">
        <w:t>the triazol-tethered series, the transfection efficiency of the non-mannosylated CDplexes formulated with</w:t>
      </w:r>
      <w:r>
        <w:t xml:space="preserve"> paCD</w:t>
      </w:r>
      <w:r w:rsidRPr="009E660F">
        <w:t xml:space="preserve"> </w:t>
      </w:r>
      <w:r w:rsidRPr="009E660F">
        <w:rPr>
          <w:b/>
        </w:rPr>
        <w:t>1a</w:t>
      </w:r>
      <w:r w:rsidRPr="009E660F">
        <w:t xml:space="preserve"> at N/P 5 is very poor in </w:t>
      </w:r>
      <w:r w:rsidRPr="006C7788">
        <w:t>the three cell lines</w:t>
      </w:r>
      <w:r w:rsidR="00337800">
        <w:t xml:space="preserve">, only </w:t>
      </w:r>
      <w:r w:rsidR="00337800">
        <w:lastRenderedPageBreak/>
        <w:t>marginally improving that of naked pDNA</w:t>
      </w:r>
      <w:r w:rsidR="00014A92">
        <w:t xml:space="preserve">. Indeed, </w:t>
      </w:r>
      <w:r w:rsidR="00DF2A74">
        <w:t>previous results</w:t>
      </w:r>
      <w:r w:rsidR="00337800">
        <w:t xml:space="preserve"> </w:t>
      </w:r>
      <w:r w:rsidR="008C62E7">
        <w:t xml:space="preserve">have </w:t>
      </w:r>
      <w:r w:rsidR="00014A92">
        <w:t xml:space="preserve">shown that </w:t>
      </w:r>
      <w:r w:rsidR="00DF2A74">
        <w:t>triazol-tethered paCD efficiency peaks at higher N/P ratios</w:t>
      </w:r>
      <w:r w:rsidR="00337800">
        <w:t>,</w:t>
      </w:r>
      <w:r w:rsidR="00DF2A74">
        <w:t xml:space="preserve"> ca. 10.</w:t>
      </w:r>
      <w:r w:rsidR="008C62E7" w:rsidRPr="008C62E7">
        <w:rPr>
          <w:vertAlign w:val="superscript"/>
        </w:rPr>
        <w:t>13</w:t>
      </w:r>
      <w:r w:rsidR="008C62E7">
        <w:t xml:space="preserve"> </w:t>
      </w:r>
      <w:r w:rsidR="00014A92" w:rsidRPr="008C62E7">
        <w:t>The</w:t>
      </w:r>
      <w:r w:rsidR="00014A92">
        <w:t xml:space="preserve"> mannosylated vectors </w:t>
      </w:r>
      <w:r w:rsidR="00014A92" w:rsidRPr="00C04777">
        <w:rPr>
          <w:b/>
        </w:rPr>
        <w:t>1c</w:t>
      </w:r>
      <w:r w:rsidR="00014A92">
        <w:t xml:space="preserve"> and </w:t>
      </w:r>
      <w:r w:rsidR="00014A92" w:rsidRPr="00C04777">
        <w:rPr>
          <w:b/>
        </w:rPr>
        <w:t>1d</w:t>
      </w:r>
      <w:r w:rsidR="00014A92">
        <w:t xml:space="preserve"> behaved similarly poorly in the MMR-devoid BNL-CL2 and COS-7 cell lines</w:t>
      </w:r>
      <w:r w:rsidR="00C04777">
        <w:t xml:space="preserve"> (Figure 6A)</w:t>
      </w:r>
      <w:r w:rsidR="00014A92">
        <w:t xml:space="preserve">. </w:t>
      </w:r>
      <w:r w:rsidR="00270FC8">
        <w:t>Rewardingly</w:t>
      </w:r>
      <w:r w:rsidR="00014A92">
        <w:t xml:space="preserve"> a significan</w:t>
      </w:r>
      <w:r w:rsidR="0036231C">
        <w:t>t</w:t>
      </w:r>
      <w:r w:rsidR="00270FC8">
        <w:t xml:space="preserve"> e</w:t>
      </w:r>
      <w:r w:rsidRPr="006C7788">
        <w:t>nh</w:t>
      </w:r>
      <w:r>
        <w:t>a</w:t>
      </w:r>
      <w:r w:rsidRPr="006C7788">
        <w:t xml:space="preserve">ncement of the transfection efficiency </w:t>
      </w:r>
      <w:r w:rsidR="0036231C">
        <w:t>relative to the control was observed in MMR-expressing</w:t>
      </w:r>
      <w:r w:rsidRPr="006C7788">
        <w:t xml:space="preserve"> RAW264.7 cells (29- and 12-folds for glycoCDplexes formulated with </w:t>
      </w:r>
      <w:r w:rsidRPr="006C7788">
        <w:rPr>
          <w:b/>
        </w:rPr>
        <w:t>1c</w:t>
      </w:r>
      <w:r w:rsidRPr="006C7788">
        <w:t xml:space="preserve"> and </w:t>
      </w:r>
      <w:r w:rsidRPr="006C7788">
        <w:rPr>
          <w:b/>
        </w:rPr>
        <w:t>1d</w:t>
      </w:r>
      <w:r w:rsidRPr="006C7788">
        <w:t>, respectively).</w:t>
      </w:r>
      <w:r w:rsidR="0036231C">
        <w:t xml:space="preserve"> A direct comparison of the data for the three cell lines reveals a </w:t>
      </w:r>
      <w:r w:rsidR="00375EF9">
        <w:t>5 to 12</w:t>
      </w:r>
      <w:r w:rsidR="002005D1">
        <w:t>-fold higher protein expression in</w:t>
      </w:r>
      <w:r w:rsidR="0036231C">
        <w:t xml:space="preserve"> MMR-</w:t>
      </w:r>
      <w:r w:rsidR="0090618E">
        <w:t>expressing</w:t>
      </w:r>
      <w:r w:rsidR="0036231C">
        <w:t xml:space="preserve"> </w:t>
      </w:r>
      <w:r w:rsidR="002005D1">
        <w:t xml:space="preserve">as compared to </w:t>
      </w:r>
      <w:r w:rsidR="0036231C">
        <w:t xml:space="preserve">MMR-devoid </w:t>
      </w:r>
      <w:r w:rsidR="002005D1">
        <w:t>cells</w:t>
      </w:r>
      <w:r w:rsidR="00375EF9">
        <w:t xml:space="preserve"> (Figure 7A)</w:t>
      </w:r>
      <w:r w:rsidR="0036231C">
        <w:t>.</w:t>
      </w:r>
    </w:p>
    <w:p w:rsidR="0090618E" w:rsidRDefault="00375EF9" w:rsidP="00375EF9">
      <w:pPr>
        <w:pStyle w:val="RSCI02FigureSchemeChartwithtopbar"/>
        <w:jc w:val="center"/>
        <w:rPr>
          <w:noProof/>
          <w:lang w:val="en-US"/>
        </w:rPr>
      </w:pPr>
      <w:r>
        <w:rPr>
          <w:noProof/>
          <w:lang w:val="es-ES" w:eastAsia="es-ES"/>
        </w:rPr>
        <w:drawing>
          <wp:inline distT="0" distB="0" distL="0" distR="0">
            <wp:extent cx="3060700" cy="34810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700" cy="3481070"/>
                    </a:xfrm>
                    <a:prstGeom prst="rect">
                      <a:avLst/>
                    </a:prstGeom>
                    <a:noFill/>
                  </pic:spPr>
                </pic:pic>
              </a:graphicData>
            </a:graphic>
          </wp:inline>
        </w:drawing>
      </w:r>
    </w:p>
    <w:p w:rsidR="0090618E" w:rsidRDefault="0090618E" w:rsidP="0090618E">
      <w:pPr>
        <w:pStyle w:val="G1bFigureCaption"/>
      </w:pPr>
      <w:r>
        <w:rPr>
          <w:b/>
        </w:rPr>
        <w:t>Figure 6</w:t>
      </w:r>
      <w:r>
        <w:t xml:space="preserve">. Transfection efficiency in terms of luciferase expression in BNL-CL2, COS-7, and RAW 264.7 cells for CDplexes formulated at N/P 5 with </w:t>
      </w:r>
      <w:r w:rsidR="00375EF9">
        <w:t>triazol-tethered (</w:t>
      </w:r>
      <w:r>
        <w:rPr>
          <w:b/>
        </w:rPr>
        <w:t>1a</w:t>
      </w:r>
      <w:r w:rsidR="00375EF9">
        <w:t>, grey</w:t>
      </w:r>
      <w:r>
        <w:t xml:space="preserve"> bars</w:t>
      </w:r>
      <w:r w:rsidR="00375EF9">
        <w:t xml:space="preserve">; </w:t>
      </w:r>
      <w:r w:rsidR="00375EF9" w:rsidRPr="00375EF9">
        <w:rPr>
          <w:b/>
        </w:rPr>
        <w:t>1c</w:t>
      </w:r>
      <w:r w:rsidR="00375EF9">
        <w:t xml:space="preserve">, dotted bars; </w:t>
      </w:r>
      <w:r w:rsidR="00375EF9" w:rsidRPr="00375EF9">
        <w:rPr>
          <w:b/>
        </w:rPr>
        <w:t>1d</w:t>
      </w:r>
      <w:r w:rsidR="00375EF9">
        <w:t>, slashed bars; panel A)</w:t>
      </w:r>
      <w:r>
        <w:t xml:space="preserve"> and </w:t>
      </w:r>
      <w:r w:rsidR="00375EF9">
        <w:t>thiourea-tethered (</w:t>
      </w:r>
      <w:r>
        <w:rPr>
          <w:b/>
        </w:rPr>
        <w:t>2a</w:t>
      </w:r>
      <w:r w:rsidR="00375EF9">
        <w:t xml:space="preserve">, grey bars; </w:t>
      </w:r>
      <w:r w:rsidR="00375EF9">
        <w:rPr>
          <w:b/>
        </w:rPr>
        <w:t>2</w:t>
      </w:r>
      <w:r w:rsidR="00375EF9" w:rsidRPr="00375EF9">
        <w:rPr>
          <w:b/>
        </w:rPr>
        <w:t>c</w:t>
      </w:r>
      <w:r w:rsidR="00375EF9">
        <w:t xml:space="preserve">, dotted bars; </w:t>
      </w:r>
      <w:r w:rsidR="00375EF9">
        <w:rPr>
          <w:b/>
        </w:rPr>
        <w:t>2</w:t>
      </w:r>
      <w:r w:rsidR="00375EF9" w:rsidRPr="00375EF9">
        <w:rPr>
          <w:b/>
        </w:rPr>
        <w:t>d</w:t>
      </w:r>
      <w:r w:rsidR="00375EF9">
        <w:t xml:space="preserve">, </w:t>
      </w:r>
      <w:r>
        <w:t>slashed bars</w:t>
      </w:r>
      <w:r w:rsidR="00375EF9">
        <w:t>; panel B</w:t>
      </w:r>
      <w:r>
        <w:t>)</w:t>
      </w:r>
      <w:r w:rsidR="00375EF9">
        <w:t xml:space="preserve"> paCDs</w:t>
      </w:r>
      <w:r>
        <w:t xml:space="preserve">. Naked pDNA </w:t>
      </w:r>
      <w:r w:rsidR="00375EF9">
        <w:t>was</w:t>
      </w:r>
      <w:r>
        <w:t xml:space="preserve"> used as negative </w:t>
      </w:r>
      <w:r w:rsidR="00375EF9">
        <w:t>control</w:t>
      </w:r>
      <w:r>
        <w:t>.</w:t>
      </w:r>
    </w:p>
    <w:p w:rsidR="00CF4368" w:rsidRDefault="00D07EEF" w:rsidP="00270FC8">
      <w:pPr>
        <w:pStyle w:val="RSCB02ArticleText"/>
      </w:pPr>
      <w:r w:rsidRPr="006C7788">
        <w:t xml:space="preserve">CDplexes </w:t>
      </w:r>
      <w:r>
        <w:t xml:space="preserve">formulated with </w:t>
      </w:r>
      <w:r w:rsidR="0036231C">
        <w:t xml:space="preserve">the </w:t>
      </w:r>
      <w:r w:rsidR="00270FC8" w:rsidRPr="006C7788">
        <w:t xml:space="preserve">thiourea-tethered </w:t>
      </w:r>
      <w:r>
        <w:t xml:space="preserve">paCD </w:t>
      </w:r>
      <w:r w:rsidRPr="00D07EEF">
        <w:rPr>
          <w:b/>
        </w:rPr>
        <w:t>2a</w:t>
      </w:r>
      <w:r w:rsidR="00270FC8" w:rsidRPr="006C7788">
        <w:t xml:space="preserve"> </w:t>
      </w:r>
      <w:r w:rsidR="0031727D">
        <w:t xml:space="preserve">at N/P 5 </w:t>
      </w:r>
      <w:r w:rsidR="006132C9">
        <w:t>already elicit</w:t>
      </w:r>
      <w:r w:rsidR="0036231C">
        <w:t>ed</w:t>
      </w:r>
      <w:r w:rsidR="006132C9">
        <w:t xml:space="preserve"> relevant levels of luciferase activity in all three </w:t>
      </w:r>
      <w:r w:rsidR="0036231C">
        <w:t xml:space="preserve">cell </w:t>
      </w:r>
      <w:r w:rsidR="006132C9">
        <w:t>lines</w:t>
      </w:r>
      <w:r w:rsidR="00037C5F">
        <w:t xml:space="preserve">. </w:t>
      </w:r>
      <w:r w:rsidR="00395315">
        <w:t xml:space="preserve">Upon conjugation with mannose, transfection levels dropped </w:t>
      </w:r>
      <w:r w:rsidR="00395315" w:rsidRPr="00FA6AF4">
        <w:t xml:space="preserve">very significantly </w:t>
      </w:r>
      <w:r w:rsidR="00395315" w:rsidRPr="006C7788">
        <w:t xml:space="preserve">in </w:t>
      </w:r>
      <w:r w:rsidR="00395315">
        <w:t>MMR-devoid BNL-CL2 and COS-7 cells (Figure 6B).</w:t>
      </w:r>
      <w:r w:rsidR="00395315" w:rsidRPr="00E82DC0">
        <w:t xml:space="preserve"> </w:t>
      </w:r>
      <w:r w:rsidR="00395315">
        <w:t xml:space="preserve">In contrast, transfection of RAW264.7 macrophages with the </w:t>
      </w:r>
      <w:r w:rsidR="00395315" w:rsidRPr="006C7788">
        <w:t>mannosylat</w:t>
      </w:r>
      <w:r w:rsidR="00395315">
        <w:t xml:space="preserve">ed conjugates </w:t>
      </w:r>
      <w:r w:rsidR="00395315" w:rsidRPr="006C7788">
        <w:rPr>
          <w:b/>
        </w:rPr>
        <w:t>2c</w:t>
      </w:r>
      <w:r w:rsidR="00395315" w:rsidRPr="006C7788">
        <w:t xml:space="preserve"> and </w:t>
      </w:r>
      <w:r w:rsidR="00395315" w:rsidRPr="006C7788">
        <w:rPr>
          <w:b/>
        </w:rPr>
        <w:t>2d</w:t>
      </w:r>
      <w:r w:rsidR="00395315">
        <w:t xml:space="preserve"> remained unaltered, probably because the detrimental effect due to attenuation of electrostatic interactions is compensated by </w:t>
      </w:r>
      <w:r w:rsidR="00251668">
        <w:t>activation of</w:t>
      </w:r>
      <w:r w:rsidR="00395315">
        <w:t xml:space="preserve"> </w:t>
      </w:r>
      <w:r w:rsidR="00395315" w:rsidRPr="00E82DC0">
        <w:t>MMR-</w:t>
      </w:r>
      <w:r w:rsidR="00395315">
        <w:t>mediated</w:t>
      </w:r>
      <w:r w:rsidR="00395315" w:rsidRPr="00E82DC0">
        <w:t xml:space="preserve"> </w:t>
      </w:r>
      <w:r w:rsidR="00395315">
        <w:t xml:space="preserve">cell uptake </w:t>
      </w:r>
      <w:r w:rsidR="00251668">
        <w:t>mechanisms</w:t>
      </w:r>
      <w:r w:rsidR="00395315" w:rsidRPr="00E82DC0">
        <w:t>.</w:t>
      </w:r>
      <w:r w:rsidR="00395315">
        <w:t xml:space="preserve"> Even though a net enhancement in macrophage transfection efficiency is not achieved, off-target effects are very significantly reduced, imparting cell selectivity.</w:t>
      </w:r>
      <w:r w:rsidR="00251668">
        <w:t xml:space="preserve"> </w:t>
      </w:r>
      <w:r w:rsidR="005B5D73">
        <w:t xml:space="preserve">Thus, while the parent paCD </w:t>
      </w:r>
      <w:r w:rsidR="00155C68">
        <w:t xml:space="preserve">vector </w:t>
      </w:r>
      <w:r w:rsidR="005B5D73" w:rsidRPr="0090618E">
        <w:rPr>
          <w:b/>
        </w:rPr>
        <w:t>2a</w:t>
      </w:r>
      <w:r w:rsidR="005B5D73">
        <w:t xml:space="preserve"> </w:t>
      </w:r>
      <w:r w:rsidR="00155C68">
        <w:t>promoted transfection of</w:t>
      </w:r>
      <w:r w:rsidR="005B5D73">
        <w:t xml:space="preserve"> the hepatocyte and fibroblast cells </w:t>
      </w:r>
      <w:r w:rsidR="00155C68">
        <w:t xml:space="preserve">with </w:t>
      </w:r>
      <w:r w:rsidR="00375EF9">
        <w:t>13</w:t>
      </w:r>
      <w:r w:rsidR="00155C68">
        <w:t xml:space="preserve">- and 100-fold higher efficiencies </w:t>
      </w:r>
      <w:r w:rsidR="002005D1">
        <w:t xml:space="preserve">as compared with </w:t>
      </w:r>
      <w:r w:rsidR="00155C68">
        <w:t xml:space="preserve">macrophages, the corresponding conjugate </w:t>
      </w:r>
      <w:r w:rsidR="00155C68" w:rsidRPr="0090618E">
        <w:rPr>
          <w:b/>
        </w:rPr>
        <w:t>2c</w:t>
      </w:r>
      <w:r w:rsidR="00155C68">
        <w:t xml:space="preserve">, with a 15% mannose incorporation, transfected preferentially macrophages, with </w:t>
      </w:r>
      <w:r w:rsidR="00375EF9">
        <w:t>31-fold and 16</w:t>
      </w:r>
      <w:r w:rsidR="00155C68">
        <w:t xml:space="preserve">-fold higher </w:t>
      </w:r>
      <w:r w:rsidR="00155C68">
        <w:lastRenderedPageBreak/>
        <w:t>efficiency as compared with</w:t>
      </w:r>
      <w:r w:rsidR="0090618E">
        <w:t xml:space="preserve"> hepatocy</w:t>
      </w:r>
      <w:r w:rsidR="00155C68">
        <w:t>tes and fibroblasts, re</w:t>
      </w:r>
      <w:r w:rsidR="0090618E">
        <w:t>s</w:t>
      </w:r>
      <w:r w:rsidR="00155C68">
        <w:t>pectively</w:t>
      </w:r>
      <w:r w:rsidR="00375EF9">
        <w:t xml:space="preserve"> (Figure 7B)</w:t>
      </w:r>
      <w:r w:rsidR="00155C68">
        <w:t xml:space="preserve">. This means a reversion of the cell selectivity in favour of the MMR-expressing cells by a factor of </w:t>
      </w:r>
      <w:r w:rsidR="00375EF9">
        <w:t>40</w:t>
      </w:r>
      <w:r w:rsidR="00155C68">
        <w:t xml:space="preserve">0 to </w:t>
      </w:r>
      <w:r w:rsidR="00375EF9">
        <w:t>16</w:t>
      </w:r>
      <w:r w:rsidR="00155C68">
        <w:t>00.</w:t>
      </w:r>
    </w:p>
    <w:p w:rsidR="000D02CB" w:rsidRDefault="00115DBF" w:rsidP="000D02CB">
      <w:pPr>
        <w:pStyle w:val="RSCI02FigureSchemeChartwithtopbar"/>
        <w:jc w:val="center"/>
        <w:rPr>
          <w:noProof/>
          <w:lang w:val="en-US"/>
        </w:rPr>
      </w:pPr>
      <w:r>
        <w:rPr>
          <w:noProof/>
          <w:lang w:val="es-ES" w:eastAsia="es-ES"/>
        </w:rPr>
        <w:drawing>
          <wp:inline distT="0" distB="0" distL="0" distR="0" wp14:anchorId="48AD9F1A" wp14:editId="47BD74F2">
            <wp:extent cx="3060000" cy="161260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0000" cy="1612603"/>
                    </a:xfrm>
                    <a:prstGeom prst="rect">
                      <a:avLst/>
                    </a:prstGeom>
                    <a:noFill/>
                  </pic:spPr>
                </pic:pic>
              </a:graphicData>
            </a:graphic>
          </wp:inline>
        </w:drawing>
      </w:r>
    </w:p>
    <w:p w:rsidR="00955E84" w:rsidRDefault="000D02CB" w:rsidP="00115DBF">
      <w:pPr>
        <w:pStyle w:val="G1bFigureCaption"/>
      </w:pPr>
      <w:r>
        <w:rPr>
          <w:b/>
        </w:rPr>
        <w:t>Figure 7</w:t>
      </w:r>
      <w:r>
        <w:t xml:space="preserve">. </w:t>
      </w:r>
      <w:r w:rsidR="002005D1">
        <w:t>Normalized t</w:t>
      </w:r>
      <w:r>
        <w:t>ransfection efficiency of CDplexes formulated at N/P 5 with triazol-tethered (</w:t>
      </w:r>
      <w:r w:rsidRPr="00D67331">
        <w:rPr>
          <w:b/>
        </w:rPr>
        <w:t>1a</w:t>
      </w:r>
      <w:r>
        <w:t xml:space="preserve">, </w:t>
      </w:r>
      <w:r w:rsidRPr="00D67331">
        <w:rPr>
          <w:b/>
        </w:rPr>
        <w:t>1c</w:t>
      </w:r>
      <w:r>
        <w:t xml:space="preserve"> and </w:t>
      </w:r>
      <w:r w:rsidRPr="00D67331">
        <w:rPr>
          <w:b/>
        </w:rPr>
        <w:t>1d</w:t>
      </w:r>
      <w:r w:rsidR="00281B10">
        <w:t>;</w:t>
      </w:r>
      <w:r>
        <w:t xml:space="preserve"> A) and thiourea-tethered (</w:t>
      </w:r>
      <w:r>
        <w:rPr>
          <w:b/>
        </w:rPr>
        <w:t>2</w:t>
      </w:r>
      <w:r w:rsidRPr="00D67331">
        <w:rPr>
          <w:b/>
        </w:rPr>
        <w:t>a</w:t>
      </w:r>
      <w:r>
        <w:t xml:space="preserve">, </w:t>
      </w:r>
      <w:r>
        <w:rPr>
          <w:b/>
        </w:rPr>
        <w:t>2</w:t>
      </w:r>
      <w:r w:rsidRPr="00D67331">
        <w:rPr>
          <w:b/>
        </w:rPr>
        <w:t>c</w:t>
      </w:r>
      <w:r>
        <w:t xml:space="preserve"> and </w:t>
      </w:r>
      <w:r>
        <w:rPr>
          <w:b/>
        </w:rPr>
        <w:t>2</w:t>
      </w:r>
      <w:r w:rsidRPr="00D67331">
        <w:rPr>
          <w:b/>
        </w:rPr>
        <w:t>d</w:t>
      </w:r>
      <w:r w:rsidR="00281B10">
        <w:t>;</w:t>
      </w:r>
      <w:r>
        <w:t xml:space="preserve"> B) paCDs </w:t>
      </w:r>
      <w:r w:rsidR="002005D1">
        <w:t>in BNL-CL2 (white bars), COS-7 (dotted bars), and RAW 264.7 (slashed bars) cells</w:t>
      </w:r>
      <w:r>
        <w:t xml:space="preserve">. </w:t>
      </w:r>
      <w:r w:rsidR="00281B10">
        <w:t>Luciferase expression levels in BNL-CL2 cells have been arbitrarily given the value 1, so that the values for COS-7 and RAW 264.7 cells represent transfection potency (in folds) relative to the former</w:t>
      </w:r>
      <w:r w:rsidR="001D2EC8">
        <w:t>.</w:t>
      </w:r>
    </w:p>
    <w:p w:rsidR="00955E84" w:rsidRPr="00A61D3E" w:rsidRDefault="00955E84" w:rsidP="00955E84">
      <w:pPr>
        <w:pStyle w:val="RSCB04AHeadingSection"/>
      </w:pPr>
      <w:r>
        <w:t xml:space="preserve">4. </w:t>
      </w:r>
      <w:r w:rsidRPr="00A61D3E">
        <w:t>Conclusions</w:t>
      </w:r>
    </w:p>
    <w:p w:rsidR="00D07EEF" w:rsidRPr="006C7788" w:rsidRDefault="00955E84" w:rsidP="00955E84">
      <w:pPr>
        <w:pStyle w:val="RSCB02ArticleText"/>
      </w:pPr>
      <w:r w:rsidRPr="00E82DC0">
        <w:t>The results presented in this work demonstrate that the installation of defined proportions of saccharidic epitopes onto molecular polycationic amphiphilic CD scaffolds can be used to modulate their DNA-templated self-assembling capabilities and the functional properties of the resulting nanocomplexes. Self-assembling of glyco</w:t>
      </w:r>
      <w:r>
        <w:t>(</w:t>
      </w:r>
      <w:r w:rsidRPr="00E82DC0">
        <w:t>paCDs</w:t>
      </w:r>
      <w:r>
        <w:t>)</w:t>
      </w:r>
      <w:r w:rsidRPr="00E82DC0">
        <w:t xml:space="preserve"> leads to amplification of interactions with complementary lectin receptors by generating a multivalent glyocodisplay at the nanoparticles surface. Glycocoating additionally shields the positive charge of glycoCDplexes, decreasing </w:t>
      </w:r>
      <w:r>
        <w:t>the</w:t>
      </w:r>
      <w:r w:rsidRPr="00E82DC0">
        <w:t xml:space="preserve"> non-specific electrostatic interactions with proteoglycans at the cell surface. Altogether glyco(paCDs) can be exploited to enhance cell transfection selectivities</w:t>
      </w:r>
      <w:r w:rsidR="00251668">
        <w:t xml:space="preserve"> by judiciously tuning the nucleic acid and lectin binding properties</w:t>
      </w:r>
      <w:r w:rsidRPr="00E82DC0">
        <w:t xml:space="preserve">, as exemplified here for macrophages, after </w:t>
      </w:r>
      <w:r w:rsidR="00D36630">
        <w:t>synchronized</w:t>
      </w:r>
      <w:r w:rsidRPr="00E82DC0">
        <w:t xml:space="preserve"> adjustment of the </w:t>
      </w:r>
      <w:r w:rsidR="00251668">
        <w:t>positive charge density</w:t>
      </w:r>
      <w:r>
        <w:t xml:space="preserve"> and the glycosylation extent.</w:t>
      </w:r>
    </w:p>
    <w:p w:rsidR="006916EE" w:rsidRDefault="00955E84" w:rsidP="00541615">
      <w:pPr>
        <w:pStyle w:val="RSCB04AHeadingSection"/>
      </w:pPr>
      <w:r>
        <w:t>5</w:t>
      </w:r>
      <w:r w:rsidR="000040EB">
        <w:t xml:space="preserve">. </w:t>
      </w:r>
      <w:r w:rsidR="006916EE" w:rsidRPr="00017239">
        <w:t>Experimental</w:t>
      </w:r>
    </w:p>
    <w:p w:rsidR="00541615" w:rsidRDefault="00955E84" w:rsidP="00541615">
      <w:pPr>
        <w:pStyle w:val="RSCB06BHeadingSub-Section"/>
      </w:pPr>
      <w:r>
        <w:rPr>
          <w:w w:val="108"/>
        </w:rPr>
        <w:t>5</w:t>
      </w:r>
      <w:r w:rsidR="000040EB">
        <w:rPr>
          <w:w w:val="108"/>
        </w:rPr>
        <w:t xml:space="preserve">.1. </w:t>
      </w:r>
      <w:r w:rsidR="00541615" w:rsidRPr="00541615">
        <w:rPr>
          <w:w w:val="108"/>
        </w:rPr>
        <w:t>General methods.</w:t>
      </w:r>
    </w:p>
    <w:p w:rsidR="00541615" w:rsidRDefault="00541615" w:rsidP="00541615">
      <w:pPr>
        <w:pStyle w:val="RSCB02ArticleText"/>
      </w:pPr>
      <w:r w:rsidRPr="00541615">
        <w:t xml:space="preserve">Reagents and solvents were purchased from commercial sources and used without further purification. NMR spectra were recorded at 500 MHz. 2D COSY, 1D TOCSY experiments were used to assist on NMR assignments. Gel permeation chromatography was carried out on Sephadex G-25 (GE Healthcare Life Sciences). Electrospray mass spectra (ESIMS) were obtained with a Bruker Esquire6000 instrument. Compounds </w:t>
      </w:r>
      <w:r w:rsidRPr="00541615">
        <w:rPr>
          <w:b/>
        </w:rPr>
        <w:t>1</w:t>
      </w:r>
      <w:r>
        <w:rPr>
          <w:b/>
        </w:rPr>
        <w:t>a</w:t>
      </w:r>
      <w:r w:rsidRPr="00541615">
        <w:t>,</w:t>
      </w:r>
      <w:r w:rsidR="00EA490B">
        <w:rPr>
          <w:vertAlign w:val="superscript"/>
        </w:rPr>
        <w:t>12a</w:t>
      </w:r>
      <w:r w:rsidR="00EA490B" w:rsidRPr="00541615">
        <w:t xml:space="preserve"> </w:t>
      </w:r>
      <w:r w:rsidRPr="00541615">
        <w:rPr>
          <w:b/>
        </w:rPr>
        <w:t>2</w:t>
      </w:r>
      <w:r>
        <w:rPr>
          <w:b/>
        </w:rPr>
        <w:t>a</w:t>
      </w:r>
      <w:r w:rsidRPr="00541615">
        <w:t>,</w:t>
      </w:r>
      <w:r w:rsidR="00EA490B">
        <w:rPr>
          <w:vertAlign w:val="superscript"/>
        </w:rPr>
        <w:t>12b</w:t>
      </w:r>
      <w:r w:rsidR="00EA490B" w:rsidRPr="00541615">
        <w:t xml:space="preserve"> </w:t>
      </w:r>
      <w:r w:rsidRPr="00317A11">
        <w:rPr>
          <w:b/>
        </w:rPr>
        <w:t>3</w:t>
      </w:r>
      <w:r w:rsidR="00317A11">
        <w:t>,</w:t>
      </w:r>
      <w:r w:rsidRPr="00317A11">
        <w:rPr>
          <w:vertAlign w:val="superscript"/>
        </w:rPr>
        <w:t>1</w:t>
      </w:r>
      <w:r w:rsidR="000D02CB">
        <w:rPr>
          <w:vertAlign w:val="superscript"/>
        </w:rPr>
        <w:t>4</w:t>
      </w:r>
      <w:r w:rsidRPr="00541615">
        <w:t xml:space="preserve"> and </w:t>
      </w:r>
      <w:r w:rsidRPr="00541615">
        <w:rPr>
          <w:b/>
        </w:rPr>
        <w:t>4</w:t>
      </w:r>
      <w:r>
        <w:rPr>
          <w:vertAlign w:val="superscript"/>
        </w:rPr>
        <w:t>9</w:t>
      </w:r>
      <w:r w:rsidRPr="00541615">
        <w:t xml:space="preserve"> were synthesized as previously reported.</w:t>
      </w:r>
    </w:p>
    <w:p w:rsidR="00955E84" w:rsidRDefault="00955E84" w:rsidP="00541615">
      <w:pPr>
        <w:pStyle w:val="RSCB02ArticleText"/>
      </w:pPr>
    </w:p>
    <w:p w:rsidR="00317A11" w:rsidRDefault="000040EB" w:rsidP="00317A11">
      <w:pPr>
        <w:pStyle w:val="RSCB06BHeadingSub-Section"/>
      </w:pPr>
      <w:r>
        <w:t xml:space="preserve">5.2. </w:t>
      </w:r>
      <w:r w:rsidR="00317A11">
        <w:t>Synthesis.</w:t>
      </w:r>
    </w:p>
    <w:p w:rsidR="003374D1" w:rsidRPr="000040EB" w:rsidRDefault="00317A11" w:rsidP="000040EB">
      <w:pPr>
        <w:pStyle w:val="RSCB02ArticleText"/>
      </w:pPr>
      <w:r w:rsidRPr="000040EB">
        <w:rPr>
          <w:rStyle w:val="RSCB08CHeadingIn-lineChar"/>
          <w:b w:val="0"/>
        </w:rPr>
        <w:lastRenderedPageBreak/>
        <w:t>Procedure for statistical mannosylation of paCD</w:t>
      </w:r>
      <w:r w:rsidR="003374D1" w:rsidRPr="000040EB">
        <w:rPr>
          <w:rStyle w:val="RSCB08CHeadingIn-lineChar"/>
          <w:b w:val="0"/>
        </w:rPr>
        <w:t>s</w:t>
      </w:r>
      <w:r w:rsidRPr="000040EB">
        <w:rPr>
          <w:rStyle w:val="RSCB08CHeadingIn-lineChar"/>
          <w:b w:val="0"/>
        </w:rPr>
        <w:t xml:space="preserve"> </w:t>
      </w:r>
      <w:r w:rsidRPr="000040EB">
        <w:rPr>
          <w:rStyle w:val="RSCB08CHeadingIn-lineChar"/>
        </w:rPr>
        <w:t>1</w:t>
      </w:r>
      <w:r w:rsidR="003374D1" w:rsidRPr="000040EB">
        <w:rPr>
          <w:rStyle w:val="RSCB08CHeadingIn-lineChar"/>
        </w:rPr>
        <w:t>a</w:t>
      </w:r>
      <w:r w:rsidR="003374D1" w:rsidRPr="000040EB">
        <w:rPr>
          <w:rStyle w:val="RSCB08CHeadingIn-lineChar"/>
          <w:b w:val="0"/>
        </w:rPr>
        <w:t xml:space="preserve"> and </w:t>
      </w:r>
      <w:r w:rsidR="003374D1" w:rsidRPr="000040EB">
        <w:rPr>
          <w:rStyle w:val="RSCB08CHeadingIn-lineChar"/>
        </w:rPr>
        <w:t>2a</w:t>
      </w:r>
      <w:r w:rsidR="000040EB" w:rsidRPr="000040EB">
        <w:rPr>
          <w:rStyle w:val="RSCB08CHeadingIn-lineChar"/>
          <w:b w:val="0"/>
        </w:rPr>
        <w:t xml:space="preserve">: </w:t>
      </w:r>
      <w:r w:rsidR="003374D1" w:rsidRPr="000040EB">
        <w:t>To a solution of paCD (12 μmol) and Et</w:t>
      </w:r>
      <w:r w:rsidR="003374D1" w:rsidRPr="000040EB">
        <w:rPr>
          <w:vertAlign w:val="subscript"/>
        </w:rPr>
        <w:t>3</w:t>
      </w:r>
      <w:r w:rsidR="003374D1" w:rsidRPr="000040EB">
        <w:t>N (47 μL, 0.34 mmol, 2 eq) in dry DMF (5 mL), a solution of 2-isothiocyanatoethyl α-D-mannopyranoside 3 (2.2 mg, 6.7 mg, 13.3 mg or 22.3 mg for 0.05, 0.15, 0.30 or 0.50 eq per primary amino group, respectively) in DMF (5 mL) was added and the solution was stirred overnight at room temperature. The solvent was removed under vacuum and the residue was purified by exclusion chromatography (Sephadex G-25) using water as eluent. The purified compound was dissolved in diluted HCl 0.1 N and freeze-dried to give a white foam in nearly quantitative yields. For detailed characterization see Supplementary Information section.</w:t>
      </w:r>
    </w:p>
    <w:p w:rsidR="00317A11" w:rsidRPr="00541615" w:rsidRDefault="00317A11" w:rsidP="00541615">
      <w:pPr>
        <w:pStyle w:val="RSCB02ArticleText"/>
        <w:rPr>
          <w:b/>
        </w:rPr>
      </w:pPr>
    </w:p>
    <w:p w:rsidR="00541615" w:rsidRPr="00317A11" w:rsidRDefault="00955E84" w:rsidP="00317A11">
      <w:pPr>
        <w:pStyle w:val="RSCB06BHeadingSub-Section"/>
      </w:pPr>
      <w:r>
        <w:t>5</w:t>
      </w:r>
      <w:r w:rsidR="000040EB">
        <w:t xml:space="preserve">.3. </w:t>
      </w:r>
      <w:r w:rsidR="00541615" w:rsidRPr="00317A11">
        <w:t xml:space="preserve">Preparation of </w:t>
      </w:r>
      <w:r w:rsidR="00317A11">
        <w:t>c</w:t>
      </w:r>
      <w:r w:rsidR="00541615" w:rsidRPr="00317A11">
        <w:t xml:space="preserve">omplexes </w:t>
      </w:r>
      <w:r w:rsidR="00317A11">
        <w:t>c</w:t>
      </w:r>
      <w:r w:rsidR="00541615" w:rsidRPr="00317A11">
        <w:t xml:space="preserve">omposed of </w:t>
      </w:r>
      <w:r w:rsidR="00317A11">
        <w:t>pa</w:t>
      </w:r>
      <w:r w:rsidR="00541615" w:rsidRPr="00317A11">
        <w:t>CD</w:t>
      </w:r>
      <w:r w:rsidR="00317A11">
        <w:t>s</w:t>
      </w:r>
      <w:r w:rsidR="00541615" w:rsidRPr="00317A11">
        <w:t xml:space="preserve"> and </w:t>
      </w:r>
      <w:r w:rsidR="00317A11">
        <w:t>pDNA</w:t>
      </w:r>
      <w:r w:rsidR="00541615" w:rsidRPr="00317A11">
        <w:t xml:space="preserve"> pTG11236. </w:t>
      </w:r>
    </w:p>
    <w:p w:rsidR="00541615" w:rsidRDefault="00541615" w:rsidP="00541615">
      <w:pPr>
        <w:pStyle w:val="RSCB02ArticleText"/>
      </w:pPr>
      <w:r w:rsidRPr="00541615">
        <w:t>The plasmid pTG11236</w:t>
      </w:r>
      <w:r w:rsidRPr="00541615">
        <w:rPr>
          <w:rStyle w:val="RSCB06BHeadingSub-SectionChar"/>
          <w:b w:val="0"/>
          <w:vertAlign w:val="superscript"/>
        </w:rPr>
        <w:t>22</w:t>
      </w:r>
      <w:r w:rsidRPr="00541615">
        <w:t xml:space="preserve"> (pCMV-SV40-luciferase-SV40pA) employed for the preparation of the DNA complexes and for transfection assay is a plasmid of 5739 bp (base pairs). The quantities of each formulation were calculated according to the DNA concentration (0.1 mg·mL</w:t>
      </w:r>
      <w:r w:rsidRPr="00541615">
        <w:rPr>
          <w:vertAlign w:val="superscript"/>
        </w:rPr>
        <w:t>-1</w:t>
      </w:r>
      <w:r w:rsidRPr="00541615">
        <w:t>, 303 μM phosphate), the N/P ratio, the molar weight and the number of positive charges in the paCD derivative or cationic polymer (JetPEI®).</w:t>
      </w:r>
      <w:r w:rsidR="00317A11" w:rsidRPr="00317A11">
        <w:rPr>
          <w:vertAlign w:val="superscript"/>
        </w:rPr>
        <w:t>20</w:t>
      </w:r>
      <w:r w:rsidRPr="00541615">
        <w:t xml:space="preserve"> Experiments were performed for N/P 1, 2, 5 and 10. Concerning the preparation of the DNA complexes from paCD derivatives and JetPEI, </w:t>
      </w:r>
      <w:r w:rsidR="00317A11">
        <w:t>p</w:t>
      </w:r>
      <w:r w:rsidRPr="00541615">
        <w:t>DNA was diluted in HEPES (20 mM, pH 7.4) to a final concentration of 303 μM (1 mg·mL</w:t>
      </w:r>
      <w:r w:rsidRPr="00541615">
        <w:rPr>
          <w:vertAlign w:val="superscript"/>
        </w:rPr>
        <w:t>-1</w:t>
      </w:r>
      <w:r w:rsidRPr="00541615">
        <w:t>), then the desired amount of CD derivative was added from a 20 mg·mL</w:t>
      </w:r>
      <w:r w:rsidRPr="00541615">
        <w:rPr>
          <w:vertAlign w:val="superscript"/>
        </w:rPr>
        <w:t>-1</w:t>
      </w:r>
      <w:r w:rsidRPr="00541615">
        <w:t xml:space="preserve"> stock solution (DMSO-water, 1:2, v:v) and JetPEI  was added from a 0.1 M stock solution (water). The preparation was vortexed for 2 h and used for characterization or transfection experiments.</w:t>
      </w:r>
    </w:p>
    <w:p w:rsidR="00505671" w:rsidRPr="00541615" w:rsidRDefault="00505671" w:rsidP="00541615">
      <w:pPr>
        <w:pStyle w:val="RSCB02ArticleText"/>
      </w:pPr>
    </w:p>
    <w:p w:rsidR="00317A11" w:rsidRDefault="00955E84" w:rsidP="00317A11">
      <w:pPr>
        <w:pStyle w:val="RSCB06BHeadingSub-Section"/>
      </w:pPr>
      <w:r>
        <w:rPr>
          <w:w w:val="108"/>
        </w:rPr>
        <w:t>5</w:t>
      </w:r>
      <w:r w:rsidR="000040EB">
        <w:rPr>
          <w:w w:val="108"/>
        </w:rPr>
        <w:t xml:space="preserve">.4. </w:t>
      </w:r>
      <w:r w:rsidR="00541615" w:rsidRPr="00541615">
        <w:rPr>
          <w:w w:val="108"/>
        </w:rPr>
        <w:t xml:space="preserve">Agarose gel electrophoresis. </w:t>
      </w:r>
    </w:p>
    <w:p w:rsidR="00541615" w:rsidRDefault="00541615" w:rsidP="00541615">
      <w:pPr>
        <w:pStyle w:val="RSCB02ArticleText"/>
      </w:pPr>
      <w:r w:rsidRPr="00541615">
        <w:t>Each CD derivative/DNA sample (20 µL, 0.4 µg of plasmid) was electrophoresed for about  30 min under 150 V through a 0.8% agarose gel in TAE 1X (Tris-acetate-EDTA) buffer and stained by spreading an ethidium bromide (Sigma) solution in TAE buffer (20 μL ethidium bromide of a 10 mg·mL</w:t>
      </w:r>
      <w:r w:rsidRPr="00541615">
        <w:rPr>
          <w:vertAlign w:val="superscript"/>
        </w:rPr>
        <w:t>-1</w:t>
      </w:r>
      <w:r w:rsidRPr="00541615">
        <w:t xml:space="preserve"> solution in 200 mL TAE). The DNA was then visualized after photographing on an UV transilluminator. </w:t>
      </w:r>
    </w:p>
    <w:p w:rsidR="00505671" w:rsidRPr="00541615" w:rsidRDefault="00505671" w:rsidP="00541615">
      <w:pPr>
        <w:pStyle w:val="RSCB02ArticleText"/>
      </w:pPr>
    </w:p>
    <w:p w:rsidR="00317A11" w:rsidRDefault="00955E84" w:rsidP="00317A11">
      <w:pPr>
        <w:pStyle w:val="RSCB06BHeadingSub-Section"/>
      </w:pPr>
      <w:r>
        <w:rPr>
          <w:w w:val="108"/>
        </w:rPr>
        <w:t>5</w:t>
      </w:r>
      <w:r w:rsidR="000040EB">
        <w:rPr>
          <w:w w:val="108"/>
        </w:rPr>
        <w:t xml:space="preserve">.5. </w:t>
      </w:r>
      <w:r w:rsidR="00541615" w:rsidRPr="00541615">
        <w:rPr>
          <w:w w:val="108"/>
        </w:rPr>
        <w:t xml:space="preserve">Particle </w:t>
      </w:r>
      <w:r w:rsidR="00317A11">
        <w:rPr>
          <w:w w:val="108"/>
        </w:rPr>
        <w:t>s</w:t>
      </w:r>
      <w:r w:rsidR="00541615" w:rsidRPr="00541615">
        <w:rPr>
          <w:w w:val="108"/>
        </w:rPr>
        <w:t xml:space="preserve">ize and ζ </w:t>
      </w:r>
      <w:r w:rsidR="00317A11">
        <w:rPr>
          <w:w w:val="108"/>
        </w:rPr>
        <w:t>p</w:t>
      </w:r>
      <w:r w:rsidR="00541615" w:rsidRPr="00541615">
        <w:rPr>
          <w:w w:val="108"/>
        </w:rPr>
        <w:t xml:space="preserve">otential </w:t>
      </w:r>
      <w:r w:rsidR="00317A11">
        <w:rPr>
          <w:w w:val="108"/>
        </w:rPr>
        <w:t>m</w:t>
      </w:r>
      <w:r w:rsidR="00541615" w:rsidRPr="00541615">
        <w:rPr>
          <w:w w:val="108"/>
        </w:rPr>
        <w:t xml:space="preserve">easurements. </w:t>
      </w:r>
    </w:p>
    <w:p w:rsidR="00541615" w:rsidRDefault="00541615" w:rsidP="00541615">
      <w:pPr>
        <w:pStyle w:val="RSCB02ArticleText"/>
      </w:pPr>
      <w:r w:rsidRPr="00541615">
        <w:t xml:space="preserve">The hydrodynamic diameters of the vesicles formed from the </w:t>
      </w:r>
      <w:r w:rsidR="00317A11">
        <w:t>pa</w:t>
      </w:r>
      <w:r w:rsidRPr="00541615">
        <w:t xml:space="preserve">CDs were measured by Dynamic Light Scattering (DLS) at 633 nm on a Nanosizer S </w:t>
      </w:r>
      <w:r w:rsidR="00317A11">
        <w:t>DLS</w:t>
      </w:r>
      <w:r w:rsidRPr="00541615">
        <w:t xml:space="preserve"> instrument (Malvern Instruments) at 25 ºC and at a detection angle of 90º. All the measurements were performed in triplicate. Data were analysed using the multimodal number distribution software included in the instrument. Results are given as volume distribution of the major population by the mean diameter with its standard deviation. Statistical analysis of the particle size was performed using a student’s test (with two-sample unequal variance and two distribution tails). The ζ potential measurements were also performed in the same instrument using 'Mixed Mode Measurement' phase analysis light </w:t>
      </w:r>
      <w:r w:rsidRPr="00541615">
        <w:lastRenderedPageBreak/>
        <w:t>scattering (M3-PALS). M3 consists of both slow field reversal and fast field reversal measurements, hence the name 'Mixed Mode Measurement' that improves accuracy and resolution. PALS is a variation of laser Doppler velocimetry that uses the phase shift (i.e. frequency x time) instead of the frequency shift to determine electrophoretic mobilities and hence convert them into zeta potentials. The following specifications were applied: sampling time, automatic; number of measurements, 3 per sample; medium viscosity, 1.054 cP; medium dielectric constant, 80; temperature, 25 °C; beam mode F(Ka) ) 1.5 (Smoluchowsky). Experiments were run by in triplicate.</w:t>
      </w:r>
    </w:p>
    <w:p w:rsidR="00505671" w:rsidRPr="00541615" w:rsidRDefault="00505671" w:rsidP="00541615">
      <w:pPr>
        <w:pStyle w:val="RSCB02ArticleText"/>
      </w:pPr>
    </w:p>
    <w:p w:rsidR="00317A11" w:rsidRDefault="00955E84" w:rsidP="00317A11">
      <w:pPr>
        <w:pStyle w:val="RSCB06BHeadingSub-Section"/>
      </w:pPr>
      <w:r>
        <w:rPr>
          <w:w w:val="108"/>
        </w:rPr>
        <w:t>5</w:t>
      </w:r>
      <w:r w:rsidR="000040EB">
        <w:rPr>
          <w:w w:val="108"/>
        </w:rPr>
        <w:t xml:space="preserve">.6. </w:t>
      </w:r>
      <w:r w:rsidR="00541615" w:rsidRPr="00541615">
        <w:rPr>
          <w:w w:val="108"/>
        </w:rPr>
        <w:t>Salt-induced CDplex dissociation assays.</w:t>
      </w:r>
    </w:p>
    <w:p w:rsidR="00541615" w:rsidRPr="00541615" w:rsidRDefault="00541615" w:rsidP="00541615">
      <w:pPr>
        <w:pStyle w:val="RSCB02ArticleText"/>
      </w:pPr>
      <w:r w:rsidRPr="00541615">
        <w:t xml:space="preserve">CDplexes were prepared as described above in order to obtain a final DNA concentration of 60 µM after adding a volume (representing 10% of total volume) of a NaCl solution in HEPES (in order to obtain a final NaCl concentration of 0, 50, 150 and 250 mM), and a volume (representing 2% of total volume) of a 100 µM ethidium bromide solution in DMSO. After adding, each preparation was vortexed for 15 minutes before fluorescence measurements. Each CDplex formulation was arrayed in triplicate into a white flat-bottom 96-well plate. The ethidium bromide fluorescence of each sample was measured with a luminometer (GENIOS PRO, Tecan France S.A.; excitation 485 nm, emission 590 nm). The relative ethidium bromide exclusion (% DNA excluded to ethidium bromide) was determined by the following relationship: </w:t>
      </w:r>
    </w:p>
    <w:p w:rsidR="00D505ED" w:rsidRDefault="00317A11" w:rsidP="00541615">
      <w:pPr>
        <w:pStyle w:val="RSCB02ArticleText"/>
      </w:pPr>
      <w:r>
        <w:t>Relative</w:t>
      </w:r>
      <w:r w:rsidRPr="00317A11">
        <w:rPr>
          <w:vertAlign w:val="subscript"/>
        </w:rPr>
        <w:t>(EtBr</w:t>
      </w:r>
      <w:r w:rsidR="00541615" w:rsidRPr="00317A11">
        <w:rPr>
          <w:vertAlign w:val="subscript"/>
        </w:rPr>
        <w:t xml:space="preserve"> exclusion</w:t>
      </w:r>
      <w:r w:rsidRPr="00317A11">
        <w:rPr>
          <w:vertAlign w:val="subscript"/>
        </w:rPr>
        <w:t>)</w:t>
      </w:r>
      <w:r w:rsidR="00541615" w:rsidRPr="00541615">
        <w:t xml:space="preserve"> = 1 – [(F</w:t>
      </w:r>
      <w:r w:rsidR="00541615" w:rsidRPr="00541615">
        <w:rPr>
          <w:vertAlign w:val="subscript"/>
        </w:rPr>
        <w:t>sample</w:t>
      </w:r>
      <w:r>
        <w:rPr>
          <w:vertAlign w:val="subscript"/>
        </w:rPr>
        <w:t xml:space="preserve"> </w:t>
      </w:r>
      <w:r w:rsidR="00541615" w:rsidRPr="00541615">
        <w:t>–</w:t>
      </w:r>
      <w:r>
        <w:t xml:space="preserve"> </w:t>
      </w:r>
      <w:r w:rsidR="00541615" w:rsidRPr="00541615">
        <w:t>F</w:t>
      </w:r>
      <w:r w:rsidR="00541615" w:rsidRPr="00541615">
        <w:rPr>
          <w:vertAlign w:val="subscript"/>
        </w:rPr>
        <w:t>blank</w:t>
      </w:r>
      <w:r w:rsidR="00541615" w:rsidRPr="00541615">
        <w:t>)</w:t>
      </w:r>
      <w:r>
        <w:t xml:space="preserve"> / [</w:t>
      </w:r>
      <w:r w:rsidR="00541615" w:rsidRPr="00541615">
        <w:t>F</w:t>
      </w:r>
      <w:r w:rsidR="00541615" w:rsidRPr="00541615">
        <w:rPr>
          <w:vertAlign w:val="subscript"/>
        </w:rPr>
        <w:t>DNAonly</w:t>
      </w:r>
      <w:r>
        <w:rPr>
          <w:vertAlign w:val="subscript"/>
        </w:rPr>
        <w:t xml:space="preserve"> </w:t>
      </w:r>
      <w:r w:rsidR="00541615" w:rsidRPr="00541615">
        <w:t>–</w:t>
      </w:r>
      <w:r>
        <w:t xml:space="preserve"> </w:t>
      </w:r>
      <w:r w:rsidR="00541615" w:rsidRPr="00541615">
        <w:t>F</w:t>
      </w:r>
      <w:r w:rsidR="00541615" w:rsidRPr="00541615">
        <w:rPr>
          <w:vertAlign w:val="subscript"/>
        </w:rPr>
        <w:t>blank</w:t>
      </w:r>
      <w:r w:rsidR="00541615" w:rsidRPr="00541615">
        <w:t>)]</w:t>
      </w:r>
    </w:p>
    <w:p w:rsidR="00505671" w:rsidRPr="00541615" w:rsidRDefault="00505671" w:rsidP="00541615">
      <w:pPr>
        <w:pStyle w:val="RSCB02ArticleText"/>
      </w:pPr>
    </w:p>
    <w:p w:rsidR="00317A11" w:rsidRDefault="00955E84" w:rsidP="00317A11">
      <w:pPr>
        <w:pStyle w:val="RSCB06BHeadingSub-Section"/>
      </w:pPr>
      <w:r>
        <w:rPr>
          <w:w w:val="108"/>
        </w:rPr>
        <w:t>5</w:t>
      </w:r>
      <w:r w:rsidR="000040EB">
        <w:rPr>
          <w:w w:val="108"/>
        </w:rPr>
        <w:t xml:space="preserve">.7. </w:t>
      </w:r>
      <w:r w:rsidR="00541615" w:rsidRPr="00541615">
        <w:rPr>
          <w:w w:val="108"/>
        </w:rPr>
        <w:t>Alveolar macrophage adhesion assays.</w:t>
      </w:r>
    </w:p>
    <w:p w:rsidR="00541615" w:rsidRDefault="00541615" w:rsidP="00541615">
      <w:pPr>
        <w:pStyle w:val="RSCB02ArticleText"/>
      </w:pPr>
      <w:r w:rsidRPr="00541615">
        <w:t>For evaluation of the interaction of YOYO-1-labeled CDplexes with alveolar macrophages, the procedure reported by Muller and Schuber</w:t>
      </w:r>
      <w:r w:rsidR="00317A11">
        <w:rPr>
          <w:vertAlign w:val="superscript"/>
        </w:rPr>
        <w:t>19a</w:t>
      </w:r>
      <w:r w:rsidRPr="00541615">
        <w:t xml:space="preserve"> for mannosylated liposomes was adapted. Briefly, resident peritoneal macrophages were obtained from female Balb/c mice (6 to 8 weeks old) and maintained in Dulbecco’s modified Eagle’s medium (DMEM; Gibco-BRL) supplemented with 10% decomplemented fetal calf serum (FCS; Sigma) containing heparin (5 U/mL). The cell number was adjusted to 10</w:t>
      </w:r>
      <w:r w:rsidRPr="00541615">
        <w:rPr>
          <w:vertAlign w:val="superscript"/>
        </w:rPr>
        <w:t>6</w:t>
      </w:r>
      <w:r w:rsidRPr="00541615">
        <w:t xml:space="preserve"> cells·mL</w:t>
      </w:r>
      <w:r w:rsidRPr="00541615">
        <w:rPr>
          <w:vertAlign w:val="superscript"/>
        </w:rPr>
        <w:t>-1</w:t>
      </w:r>
      <w:r w:rsidRPr="00541615">
        <w:t xml:space="preserve"> and the suspension was platted (final volume 1 mL) in multi-well plates. After 2 h in a humidified atmosphere of 5% CO</w:t>
      </w:r>
      <w:r w:rsidRPr="00541615">
        <w:rPr>
          <w:vertAlign w:val="subscript"/>
        </w:rPr>
        <w:t>2</w:t>
      </w:r>
      <w:r w:rsidRPr="00541615">
        <w:t xml:space="preserve"> in air (final pH 7.4), non-adherent cells were eliminated by rinsing the dishes three times with PBS. The adherent cells, 24 h after their isolation, were fed with fresh serum-less DMEM and incubated with varying amounts of CD-pDNA nanocomplexes, PEI polyplexes and naked DNA (control). After the incubation time, the medium was pipetted-off and the cells washed four times with cold PBS (4 ºC). The fluorescent tag associated to the cells was measured fluorimetrically (Perkin Elmer luminescence spectrometer LS50B, excitation at 491 nm and monitoring emission at 509 nm) after cell digestion in 1 mL PBS containing 0.1% of emulphogene BC-720, and scraping with a rubber policeman. Experiments were run in duplicate, and results did not differ more than 10%.</w:t>
      </w:r>
    </w:p>
    <w:p w:rsidR="00505671" w:rsidRPr="00541615" w:rsidRDefault="00505671" w:rsidP="00541615">
      <w:pPr>
        <w:pStyle w:val="RSCB02ArticleText"/>
      </w:pPr>
    </w:p>
    <w:p w:rsidR="00317A11" w:rsidRDefault="00955E84" w:rsidP="00317A11">
      <w:pPr>
        <w:pStyle w:val="RSCB06BHeadingSub-Section"/>
      </w:pPr>
      <w:r>
        <w:rPr>
          <w:w w:val="108"/>
        </w:rPr>
        <w:lastRenderedPageBreak/>
        <w:t>5</w:t>
      </w:r>
      <w:r w:rsidR="000040EB">
        <w:rPr>
          <w:w w:val="108"/>
        </w:rPr>
        <w:t xml:space="preserve">.8. </w:t>
      </w:r>
      <w:r w:rsidR="00541615" w:rsidRPr="00541615">
        <w:rPr>
          <w:w w:val="108"/>
        </w:rPr>
        <w:t>In vitro transfection.</w:t>
      </w:r>
    </w:p>
    <w:p w:rsidR="00541615" w:rsidRDefault="00541615" w:rsidP="00541615">
      <w:pPr>
        <w:pStyle w:val="RSCB02ArticleText"/>
      </w:pPr>
      <w:r w:rsidRPr="00541615">
        <w:t>Twenty-four hours before transfection, BNL-CL2, COS-7, and RAW264.7 cells were grown at a density of 2 x 10</w:t>
      </w:r>
      <w:r w:rsidRPr="00541615">
        <w:rPr>
          <w:vertAlign w:val="superscript"/>
        </w:rPr>
        <w:t>4</w:t>
      </w:r>
      <w:r w:rsidRPr="00541615">
        <w:t xml:space="preserve"> cells/well in a 96-well plates in Dulbelco modified Eagle culture medium (DMEM; Gibco-BRL) containing 10% foetal calf serum (FCS; Sigma) in a wet (37 ºC) and 5% CO</w:t>
      </w:r>
      <w:r w:rsidRPr="00541615">
        <w:rPr>
          <w:vertAlign w:val="subscript"/>
        </w:rPr>
        <w:t>2</w:t>
      </w:r>
      <w:r w:rsidRPr="00541615">
        <w:t>/95% air atmosphere. The complexes CD derivative/DNA or PEI/DNA polyplexes were diluted to 100 μL in DMEM in order to have 0.5 μg of DNA in the preparation. The culture medium was removed and replaced by these 100 μL of complexes in DMEM. After 4 h and 24 h, 50 and 100 μL of DMEM supplemented with 30% and 10% FCS, respectively, were added. After 48 h, the transfection was stopped, the culture medium was discarded, and the cells washed twice with 100 μL of PBS and lysed with 50 μL of lysis buffer (Promega, Charbonnières, France). The lysates were frozen at -32 ºC, before the analysis of luciferase activity. This measurement was performed in a LB96P luminometer (BERTHOLD, France) in dynamic mode, for 10 s on 10 mL on the lysis mixture and using the “luciferase” determination system (Promega) in 96-well plates. The total protein concentration per well was determined by the BCA test (Pierce, MontluÇon, France). Luciferase activity was calculated as femtograms (fg) of luciferase per mg of protein. The percentage of cell viability of the nanocomplexes was calculated as the ratio of the total protein amount per well of the transfected cells relative to that measured for unt</w:t>
      </w:r>
      <w:r w:rsidR="00317A11">
        <w:t>reated cells x 100%.</w:t>
      </w:r>
    </w:p>
    <w:p w:rsidR="00FA2DA2" w:rsidRDefault="000040EB" w:rsidP="00FA2DA2">
      <w:pPr>
        <w:pStyle w:val="RSCB04AHeadingSection"/>
      </w:pPr>
      <w:r>
        <w:t xml:space="preserve">6. </w:t>
      </w:r>
      <w:r w:rsidR="00FA2DA2">
        <w:t>Acknowledgements</w:t>
      </w:r>
    </w:p>
    <w:p w:rsidR="00FA2DA2" w:rsidRPr="00A61D3E" w:rsidRDefault="00C5798F" w:rsidP="00FA2DA2">
      <w:pPr>
        <w:pStyle w:val="RSCB02ArticleText"/>
      </w:pPr>
      <w:r w:rsidRPr="006C7788">
        <w:t xml:space="preserve">This work was supported by the Spanish Ministerio </w:t>
      </w:r>
      <w:r w:rsidR="003E1F25">
        <w:t>de Economía y Competitividad (Min</w:t>
      </w:r>
      <w:r w:rsidRPr="006C7788">
        <w:t>EC</w:t>
      </w:r>
      <w:r w:rsidR="003E1F25">
        <w:t>o</w:t>
      </w:r>
      <w:r w:rsidRPr="006C7788">
        <w:t>; contract number SAF2013-44021-R), the Junta de Andalucía (</w:t>
      </w:r>
      <w:r w:rsidRPr="006C7788">
        <w:rPr>
          <w:lang w:val="en-US"/>
        </w:rPr>
        <w:t>Proyecto de Investigación de Excelencia FQM-1467)</w:t>
      </w:r>
      <w:r w:rsidRPr="006C7788">
        <w:t xml:space="preserve">, </w:t>
      </w:r>
      <w:r w:rsidRPr="006C7788">
        <w:rPr>
          <w:lang w:val="en-US"/>
        </w:rPr>
        <w:t>the Fondo Europeo de Desarrollo Regional (FEDER-Unión Europea), the Fondo Social Europeo (FSE)</w:t>
      </w:r>
      <w:r w:rsidRPr="006C7788">
        <w:t xml:space="preserve"> the CSIC, the CNRS, and FUSINT (CNRS project). A.M.-A.</w:t>
      </w:r>
      <w:r w:rsidR="00185858">
        <w:t xml:space="preserve"> and A.D.-M. are grateful to Min</w:t>
      </w:r>
      <w:r w:rsidRPr="006C7788">
        <w:t>EC</w:t>
      </w:r>
      <w:r w:rsidR="00185858">
        <w:t>o</w:t>
      </w:r>
      <w:r w:rsidRPr="006C7788">
        <w:t xml:space="preserve"> and CSIC, respectivel</w:t>
      </w:r>
      <w:r>
        <w:t>y, for pre-doctoral fellowships</w:t>
      </w:r>
      <w:r w:rsidR="00FA2DA2" w:rsidRPr="00702742">
        <w:t xml:space="preserve">. </w:t>
      </w:r>
    </w:p>
    <w:p w:rsidR="00D010E8" w:rsidRPr="00EF6BD4" w:rsidRDefault="00E61949" w:rsidP="00EF6BD4">
      <w:pPr>
        <w:pStyle w:val="RSCB04AHeadingSection"/>
      </w:pPr>
      <w:r w:rsidRPr="00EF6BD4">
        <w:t>Notes and references</w:t>
      </w:r>
    </w:p>
    <w:p w:rsidR="00E61949" w:rsidRPr="00B0470A" w:rsidRDefault="0055097C" w:rsidP="0055097C">
      <w:pPr>
        <w:pStyle w:val="RSCR02References"/>
      </w:pPr>
      <w:r>
        <w:t>V.</w:t>
      </w:r>
      <w:r w:rsidRPr="0055097C">
        <w:t xml:space="preserve"> K. Sharma, </w:t>
      </w:r>
      <w:r>
        <w:t>P.</w:t>
      </w:r>
      <w:r w:rsidRPr="0055097C">
        <w:t xml:space="preserve"> Rungta and </w:t>
      </w:r>
      <w:r>
        <w:t>A.</w:t>
      </w:r>
      <w:r w:rsidRPr="0055097C">
        <w:t xml:space="preserve"> K. Prasad</w:t>
      </w:r>
      <w:r>
        <w:t xml:space="preserve">, </w:t>
      </w:r>
      <w:r w:rsidRPr="0055097C">
        <w:rPr>
          <w:i/>
        </w:rPr>
        <w:t>RSC Adv.</w:t>
      </w:r>
      <w:r>
        <w:t xml:space="preserve">, 2014, </w:t>
      </w:r>
      <w:r>
        <w:rPr>
          <w:b/>
        </w:rPr>
        <w:t>4</w:t>
      </w:r>
      <w:r>
        <w:t>,</w:t>
      </w:r>
      <w:r w:rsidRPr="0055097C">
        <w:t xml:space="preserve"> </w:t>
      </w:r>
      <w:r>
        <w:t>16618</w:t>
      </w:r>
      <w:r w:rsidR="00E61949" w:rsidRPr="00B0470A">
        <w:t>.</w:t>
      </w:r>
    </w:p>
    <w:p w:rsidR="00185858" w:rsidRDefault="00185858" w:rsidP="00F157DD">
      <w:pPr>
        <w:pStyle w:val="RSCR02References"/>
      </w:pPr>
      <w:r w:rsidRPr="00227B40">
        <w:t>(</w:t>
      </w:r>
      <w:r w:rsidRPr="00227B40">
        <w:rPr>
          <w:i/>
        </w:rPr>
        <w:t>a</w:t>
      </w:r>
      <w:r w:rsidRPr="00227B40">
        <w:t xml:space="preserve">) M. Elsabahy, A. Nazarali and M. Foldvari, </w:t>
      </w:r>
      <w:r w:rsidRPr="00227B40">
        <w:rPr>
          <w:i/>
        </w:rPr>
        <w:t>Curr. Drug Deliv.</w:t>
      </w:r>
      <w:r w:rsidRPr="00227B40">
        <w:t xml:space="preserve">, 2011, </w:t>
      </w:r>
      <w:r w:rsidRPr="00227B40">
        <w:rPr>
          <w:b/>
        </w:rPr>
        <w:t>8</w:t>
      </w:r>
      <w:r w:rsidRPr="00227B40">
        <w:t>, 235; (</w:t>
      </w:r>
      <w:r w:rsidRPr="00227B40">
        <w:rPr>
          <w:i/>
        </w:rPr>
        <w:t>b</w:t>
      </w:r>
      <w:r w:rsidRPr="00227B40">
        <w:t xml:space="preserve">) M. A. Mintzer and E. E. Simanek, </w:t>
      </w:r>
      <w:r w:rsidRPr="00227B40">
        <w:rPr>
          <w:i/>
        </w:rPr>
        <w:t>Chem. Rev.</w:t>
      </w:r>
      <w:r w:rsidRPr="00227B40">
        <w:t xml:space="preserve">, 2009, </w:t>
      </w:r>
      <w:r w:rsidRPr="00227B40">
        <w:rPr>
          <w:b/>
        </w:rPr>
        <w:t>109</w:t>
      </w:r>
      <w:r w:rsidRPr="00227B40">
        <w:t xml:space="preserve">, 259; (c) C. H. Jones, C.-H. Chen, A. Ravikrishnan, S. Rane and B. A. Pfeifer, </w:t>
      </w:r>
      <w:r w:rsidRPr="00227B40">
        <w:rPr>
          <w:i/>
        </w:rPr>
        <w:t>Mol. Pharmaceutics</w:t>
      </w:r>
      <w:r w:rsidRPr="00227B40">
        <w:t xml:space="preserve">, 2013, </w:t>
      </w:r>
      <w:r w:rsidRPr="00227B40">
        <w:rPr>
          <w:b/>
        </w:rPr>
        <w:t>10</w:t>
      </w:r>
      <w:r w:rsidRPr="00227B40">
        <w:t>, 4082</w:t>
      </w:r>
      <w:r>
        <w:t>.</w:t>
      </w:r>
    </w:p>
    <w:p w:rsidR="00185858" w:rsidRPr="000F06AD" w:rsidRDefault="00AC2965" w:rsidP="00A93BAF">
      <w:pPr>
        <w:pStyle w:val="RSCR02References"/>
      </w:pPr>
      <w:r>
        <w:t>(</w:t>
      </w:r>
      <w:r w:rsidRPr="00E27B1A">
        <w:rPr>
          <w:i/>
        </w:rPr>
        <w:t>a</w:t>
      </w:r>
      <w:r>
        <w:t xml:space="preserve">) </w:t>
      </w:r>
      <w:r w:rsidR="00A93BAF">
        <w:t>B. J. Ravoo</w:t>
      </w:r>
      <w:r w:rsidR="00E27B1A">
        <w:t xml:space="preserve"> and</w:t>
      </w:r>
      <w:r w:rsidR="00A93BAF">
        <w:t xml:space="preserve"> R. Darcy, </w:t>
      </w:r>
      <w:r w:rsidR="00A93BAF" w:rsidRPr="00E27B1A">
        <w:rPr>
          <w:i/>
        </w:rPr>
        <w:t>Angew.</w:t>
      </w:r>
      <w:r w:rsidR="00E27B1A">
        <w:rPr>
          <w:i/>
        </w:rPr>
        <w:t xml:space="preserve"> </w:t>
      </w:r>
      <w:r w:rsidR="00A93BAF" w:rsidRPr="00E27B1A">
        <w:rPr>
          <w:i/>
        </w:rPr>
        <w:t>Chem. Int. Ed.</w:t>
      </w:r>
      <w:r w:rsidR="00A93BAF">
        <w:t xml:space="preserve"> 2000, </w:t>
      </w:r>
      <w:r w:rsidR="00A93BAF" w:rsidRPr="00E27B1A">
        <w:rPr>
          <w:b/>
        </w:rPr>
        <w:t>39</w:t>
      </w:r>
      <w:r w:rsidR="00A93BAF">
        <w:t>, 4324</w:t>
      </w:r>
      <w:r w:rsidR="00E27B1A">
        <w:t>; (</w:t>
      </w:r>
      <w:r w:rsidR="00E27B1A" w:rsidRPr="00E27B1A">
        <w:rPr>
          <w:i/>
        </w:rPr>
        <w:t>b</w:t>
      </w:r>
      <w:r w:rsidR="00E27B1A">
        <w:t>)</w:t>
      </w:r>
      <w:r w:rsidR="00185858" w:rsidRPr="00227B40">
        <w:t xml:space="preserve"> </w:t>
      </w:r>
      <w:r w:rsidR="00E27B1A">
        <w:t xml:space="preserve">C. </w:t>
      </w:r>
      <w:r w:rsidR="00185858" w:rsidRPr="00227B40">
        <w:t xml:space="preserve">Ortiz Mellet, J. M. Benito and J. M. García Fernández, </w:t>
      </w:r>
      <w:r w:rsidR="00185858" w:rsidRPr="00E27B1A">
        <w:rPr>
          <w:i/>
        </w:rPr>
        <w:t>Chem. – Eur. J.</w:t>
      </w:r>
      <w:r w:rsidR="00185858" w:rsidRPr="00227B40">
        <w:t xml:space="preserve">, 2010, </w:t>
      </w:r>
      <w:r w:rsidR="00185858" w:rsidRPr="00E27B1A">
        <w:rPr>
          <w:b/>
        </w:rPr>
        <w:t>16</w:t>
      </w:r>
      <w:r w:rsidR="00185858" w:rsidRPr="00227B40">
        <w:t>, 6728</w:t>
      </w:r>
      <w:r>
        <w:t>; (</w:t>
      </w:r>
      <w:r w:rsidR="00E27B1A">
        <w:rPr>
          <w:i/>
        </w:rPr>
        <w:t>c</w:t>
      </w:r>
      <w:r>
        <w:t xml:space="preserve">) </w:t>
      </w:r>
      <w:r w:rsidRPr="00F80C9C">
        <w:t>V. Bagnacani, V. Franceschi, M. Bassi, M. Lomazzi</w:t>
      </w:r>
      <w:r>
        <w:t xml:space="preserve">, </w:t>
      </w:r>
      <w:r w:rsidRPr="00F80C9C">
        <w:t xml:space="preserve">G. Donofrio, F. Sansone, A. Casnati and R. Ungaro, </w:t>
      </w:r>
      <w:r w:rsidRPr="00E27B1A">
        <w:rPr>
          <w:i/>
        </w:rPr>
        <w:t>Nat. Commun.</w:t>
      </w:r>
      <w:r w:rsidRPr="00F80C9C">
        <w:t xml:space="preserve">, 2013, </w:t>
      </w:r>
      <w:r w:rsidRPr="00E27B1A">
        <w:rPr>
          <w:b/>
          <w:i/>
        </w:rPr>
        <w:t>4</w:t>
      </w:r>
      <w:r w:rsidR="000F06AD" w:rsidRPr="000F06AD">
        <w:t>, 1721; (</w:t>
      </w:r>
      <w:r w:rsidR="00E27B1A">
        <w:rPr>
          <w:i/>
        </w:rPr>
        <w:t>d</w:t>
      </w:r>
      <w:r w:rsidR="000F06AD" w:rsidRPr="000F06AD">
        <w:t xml:space="preserve">) </w:t>
      </w:r>
      <w:r w:rsidR="000F06AD" w:rsidRPr="00F80C9C">
        <w:t xml:space="preserve">V. Bagnacani, V. F. L. Fantuzzi, F. Sansone, G. Donofrio, A. Casnati and R. Ungaro, </w:t>
      </w:r>
      <w:r w:rsidR="000F06AD" w:rsidRPr="00E27B1A">
        <w:rPr>
          <w:i/>
        </w:rPr>
        <w:t>Bioconjugate Chem.</w:t>
      </w:r>
      <w:r w:rsidR="000F06AD" w:rsidRPr="00F80C9C">
        <w:t>,</w:t>
      </w:r>
      <w:r w:rsidR="000F06AD">
        <w:t xml:space="preserve"> </w:t>
      </w:r>
      <w:r w:rsidR="000F06AD" w:rsidRPr="00F80C9C">
        <w:t xml:space="preserve">2012, </w:t>
      </w:r>
      <w:r w:rsidR="000F06AD" w:rsidRPr="00E27B1A">
        <w:rPr>
          <w:b/>
        </w:rPr>
        <w:t>23</w:t>
      </w:r>
      <w:r w:rsidR="000F06AD" w:rsidRPr="00F80C9C">
        <w:t>, 993</w:t>
      </w:r>
      <w:r w:rsidR="000F06AD">
        <w:t>; (</w:t>
      </w:r>
      <w:r w:rsidR="00E27B1A">
        <w:rPr>
          <w:i/>
        </w:rPr>
        <w:t>e</w:t>
      </w:r>
      <w:r w:rsidR="000F06AD">
        <w:t xml:space="preserve">) </w:t>
      </w:r>
      <w:r w:rsidR="000F06AD" w:rsidRPr="006C7788">
        <w:t xml:space="preserve">L. Gallego-Yerga, M. Lomazzi, V. Franceschi, F. Sansone, C. Ortiz Mellet, G. Donofrio, A. Casnati and </w:t>
      </w:r>
      <w:r w:rsidR="00F80C9C" w:rsidRPr="006C7788">
        <w:t>J</w:t>
      </w:r>
      <w:r w:rsidR="00F80C9C">
        <w:t>.</w:t>
      </w:r>
      <w:r w:rsidR="00F80C9C" w:rsidRPr="006C7788">
        <w:t xml:space="preserve"> </w:t>
      </w:r>
      <w:r w:rsidR="000F06AD" w:rsidRPr="006C7788">
        <w:t xml:space="preserve">M. García Fernández, </w:t>
      </w:r>
      <w:r w:rsidR="000F06AD" w:rsidRPr="00E27B1A">
        <w:rPr>
          <w:i/>
        </w:rPr>
        <w:t>Org. Biomol. Chem.</w:t>
      </w:r>
      <w:r w:rsidR="000F06AD" w:rsidRPr="006C7788">
        <w:t xml:space="preserve">, 2015, </w:t>
      </w:r>
      <w:r w:rsidR="000F06AD" w:rsidRPr="00E27B1A">
        <w:rPr>
          <w:b/>
        </w:rPr>
        <w:t>13</w:t>
      </w:r>
      <w:r w:rsidR="000F06AD" w:rsidRPr="006C7788">
        <w:t>, 1708</w:t>
      </w:r>
      <w:r w:rsidR="000F06AD">
        <w:t>.</w:t>
      </w:r>
    </w:p>
    <w:p w:rsidR="00F157DD" w:rsidRDefault="002A3AD5" w:rsidP="002A3AD5">
      <w:pPr>
        <w:pStyle w:val="RSCR02References"/>
      </w:pPr>
      <w:r>
        <w:lastRenderedPageBreak/>
        <w:t>(</w:t>
      </w:r>
      <w:r w:rsidRPr="002A3AD5">
        <w:rPr>
          <w:i/>
        </w:rPr>
        <w:t>a</w:t>
      </w:r>
      <w:r w:rsidRPr="002A3AD5">
        <w:t xml:space="preserve">) </w:t>
      </w:r>
      <w:r w:rsidR="00C829DA" w:rsidRPr="006C7788">
        <w:t xml:space="preserve">B. M. D. C. Godinho, D. J. McCarthy, C. Torres-Fuentes, C. J. Beltrán, J. McCarthy, A. Quinlan, J. R. Ogier, R. Darcy, C. M. O’Driscoll and J. F. Cryan, </w:t>
      </w:r>
      <w:r w:rsidR="00C829DA" w:rsidRPr="006C7788">
        <w:rPr>
          <w:i/>
        </w:rPr>
        <w:t>Biomaterials</w:t>
      </w:r>
      <w:r w:rsidR="00C829DA" w:rsidRPr="006C7788">
        <w:t>,</w:t>
      </w:r>
      <w:r w:rsidR="00C829DA">
        <w:t xml:space="preserve"> 2014,</w:t>
      </w:r>
      <w:r w:rsidR="00C829DA" w:rsidRPr="006C7788">
        <w:t xml:space="preserve"> </w:t>
      </w:r>
      <w:r w:rsidR="00C829DA">
        <w:rPr>
          <w:b/>
        </w:rPr>
        <w:t>35</w:t>
      </w:r>
      <w:r w:rsidR="00C829DA" w:rsidRPr="006C7788">
        <w:t xml:space="preserve">, 489; </w:t>
      </w:r>
      <w:r w:rsidR="00C829DA" w:rsidRPr="006C7788">
        <w:rPr>
          <w:lang w:val="en-US"/>
        </w:rPr>
        <w:t>(</w:t>
      </w:r>
      <w:r w:rsidR="00F80C9C">
        <w:rPr>
          <w:i/>
          <w:lang w:val="en-US"/>
        </w:rPr>
        <w:t>b</w:t>
      </w:r>
      <w:r w:rsidR="00C829DA" w:rsidRPr="006C7788">
        <w:rPr>
          <w:lang w:val="en-US"/>
        </w:rPr>
        <w:t xml:space="preserve">) J. McCarthy, M. J. O’Neill, L. Bourre, D. Walsh, A. Quinlan, G. Hurley, J. Ogier, F. Shanahan, S. Melgar, R. Darcy and C. M. O’Driscoll, </w:t>
      </w:r>
      <w:r w:rsidR="00C829DA" w:rsidRPr="006C7788">
        <w:rPr>
          <w:i/>
          <w:lang w:val="en-US"/>
        </w:rPr>
        <w:t>J. Control</w:t>
      </w:r>
      <w:r w:rsidR="00115DBF">
        <w:rPr>
          <w:i/>
          <w:lang w:val="en-US"/>
        </w:rPr>
        <w:t>.</w:t>
      </w:r>
      <w:r w:rsidR="00C829DA" w:rsidRPr="006C7788">
        <w:rPr>
          <w:i/>
          <w:lang w:val="en-US"/>
        </w:rPr>
        <w:t xml:space="preserve"> Release</w:t>
      </w:r>
      <w:r w:rsidR="00C829DA" w:rsidRPr="006C7788">
        <w:rPr>
          <w:lang w:val="en-US"/>
        </w:rPr>
        <w:t xml:space="preserve">, 2013, </w:t>
      </w:r>
      <w:r w:rsidR="00C829DA" w:rsidRPr="006C7788">
        <w:rPr>
          <w:b/>
          <w:lang w:val="en-US"/>
        </w:rPr>
        <w:t>168</w:t>
      </w:r>
      <w:r w:rsidR="00C829DA" w:rsidRPr="006C7788">
        <w:rPr>
          <w:lang w:val="en-US"/>
        </w:rPr>
        <w:t>, 28;</w:t>
      </w:r>
      <w:r w:rsidR="00C829DA" w:rsidRPr="002A3AD5" w:rsidDel="00C829DA">
        <w:rPr>
          <w:rStyle w:val="author"/>
          <w:iCs/>
        </w:rPr>
        <w:t xml:space="preserve"> </w:t>
      </w:r>
      <w:r w:rsidRPr="002A3AD5">
        <w:rPr>
          <w:rStyle w:val="pagefirst"/>
          <w:iCs/>
        </w:rPr>
        <w:t>(</w:t>
      </w:r>
      <w:r w:rsidR="00C829DA">
        <w:rPr>
          <w:rStyle w:val="pagefirst"/>
          <w:i/>
          <w:iCs/>
        </w:rPr>
        <w:t>c</w:t>
      </w:r>
      <w:r w:rsidRPr="002A3AD5">
        <w:rPr>
          <w:rStyle w:val="pagefirst"/>
          <w:iCs/>
        </w:rPr>
        <w:t>)</w:t>
      </w:r>
      <w:r w:rsidR="00C829DA">
        <w:rPr>
          <w:rStyle w:val="pagefirst"/>
          <w:iCs/>
        </w:rPr>
        <w:t xml:space="preserve"> </w:t>
      </w:r>
      <w:r w:rsidR="00C829DA" w:rsidRPr="00C829DA">
        <w:rPr>
          <w:iCs/>
          <w:lang w:val="en-US"/>
        </w:rPr>
        <w:t xml:space="preserve">A. M. O’Mahony, B. M. D. C. Godinho, J. Ogier, M. Devocelle, R. Darcy, J. F. Cryan and C. M. O’Driscoll, </w:t>
      </w:r>
      <w:r w:rsidR="00C829DA" w:rsidRPr="00F80C9C">
        <w:rPr>
          <w:i/>
          <w:iCs/>
          <w:lang w:val="en-US"/>
        </w:rPr>
        <w:t>ACS Chem. Neurosci.</w:t>
      </w:r>
      <w:r w:rsidR="00C829DA" w:rsidRPr="00C829DA">
        <w:rPr>
          <w:iCs/>
          <w:lang w:val="en-US"/>
        </w:rPr>
        <w:t xml:space="preserve">, 2012, </w:t>
      </w:r>
      <w:r w:rsidR="00C829DA" w:rsidRPr="00C829DA">
        <w:rPr>
          <w:b/>
          <w:iCs/>
          <w:lang w:val="en-US"/>
        </w:rPr>
        <w:t>3</w:t>
      </w:r>
      <w:r w:rsidR="00C829DA" w:rsidRPr="00C829DA">
        <w:rPr>
          <w:iCs/>
          <w:lang w:val="en-US"/>
        </w:rPr>
        <w:t>, 744; (</w:t>
      </w:r>
      <w:r w:rsidR="00C829DA">
        <w:rPr>
          <w:iCs/>
          <w:lang w:val="en-US"/>
        </w:rPr>
        <w:t>d</w:t>
      </w:r>
      <w:r w:rsidR="00C829DA" w:rsidRPr="00C829DA">
        <w:rPr>
          <w:iCs/>
          <w:lang w:val="en-US"/>
        </w:rPr>
        <w:t xml:space="preserve">) V. Villari, A. Mazzaglia, R. Darcy, C. M. O’Driscoll and N. Micalli, </w:t>
      </w:r>
      <w:r w:rsidR="00C829DA" w:rsidRPr="00F80C9C">
        <w:rPr>
          <w:i/>
          <w:iCs/>
          <w:lang w:val="en-US"/>
        </w:rPr>
        <w:t>Biomacromolecules</w:t>
      </w:r>
      <w:r w:rsidR="00C829DA" w:rsidRPr="00C829DA">
        <w:rPr>
          <w:iCs/>
          <w:lang w:val="en-US"/>
        </w:rPr>
        <w:t xml:space="preserve">, 2013, </w:t>
      </w:r>
      <w:r w:rsidR="00C829DA" w:rsidRPr="00C829DA">
        <w:rPr>
          <w:b/>
          <w:iCs/>
          <w:lang w:val="en-US"/>
        </w:rPr>
        <w:t>14</w:t>
      </w:r>
      <w:r w:rsidR="00C829DA" w:rsidRPr="00C829DA">
        <w:rPr>
          <w:iCs/>
          <w:lang w:val="en-US"/>
        </w:rPr>
        <w:t>, 811</w:t>
      </w:r>
      <w:r w:rsidR="00C829DA">
        <w:rPr>
          <w:iCs/>
          <w:lang w:val="en-US"/>
        </w:rPr>
        <w:t>.</w:t>
      </w:r>
    </w:p>
    <w:p w:rsidR="00185858" w:rsidRDefault="00A35171" w:rsidP="00F157DD">
      <w:pPr>
        <w:pStyle w:val="RSCR02References"/>
      </w:pPr>
      <w:r>
        <w:t>(</w:t>
      </w:r>
      <w:r w:rsidRPr="00624D8C">
        <w:rPr>
          <w:i/>
        </w:rPr>
        <w:t>a</w:t>
      </w:r>
      <w:r>
        <w:t xml:space="preserve">) </w:t>
      </w:r>
      <w:r w:rsidRPr="006C7788">
        <w:t xml:space="preserve">N. Guilloteau, C. Bienvenu, C. Charrat, J.L. Jiménez Blanco, A. Díaz-Moscoso, C. Ortiz Mellet, J. M. García Fernández, </w:t>
      </w:r>
      <w:r w:rsidRPr="006C7788">
        <w:rPr>
          <w:lang w:val="en-US"/>
        </w:rPr>
        <w:t xml:space="preserve">P. Vierling and C. Di Giorgio, </w:t>
      </w:r>
      <w:r w:rsidRPr="006C7788">
        <w:rPr>
          <w:i/>
        </w:rPr>
        <w:t>RSC Adv.</w:t>
      </w:r>
      <w:r w:rsidRPr="006C7788">
        <w:t xml:space="preserve">, 2015, </w:t>
      </w:r>
      <w:r w:rsidRPr="006C7788">
        <w:rPr>
          <w:b/>
        </w:rPr>
        <w:t>5</w:t>
      </w:r>
      <w:r w:rsidRPr="006C7788">
        <w:t>, 29135</w:t>
      </w:r>
      <w:r>
        <w:t>; (</w:t>
      </w:r>
      <w:r w:rsidRPr="00624D8C">
        <w:rPr>
          <w:i/>
        </w:rPr>
        <w:t>b</w:t>
      </w:r>
      <w:r>
        <w:t>)</w:t>
      </w:r>
      <w:r w:rsidRPr="00624D8C">
        <w:t xml:space="preserve"> </w:t>
      </w:r>
      <w:r w:rsidR="006A7CF0" w:rsidRPr="006C7788">
        <w:t xml:space="preserve">C. Aranda, K. Urbiola, A. Méndez Ardoy, J. M. García Fernández, C. Ortiz Mellet and C. Tros de Ilarduya, </w:t>
      </w:r>
      <w:r w:rsidR="006A7CF0" w:rsidRPr="006C7788">
        <w:rPr>
          <w:i/>
          <w:lang w:val="en-US"/>
        </w:rPr>
        <w:t>Eur. J. Pharm. Biopharm.</w:t>
      </w:r>
      <w:r w:rsidR="006A7CF0" w:rsidRPr="006C7788">
        <w:rPr>
          <w:lang w:val="en-US"/>
        </w:rPr>
        <w:t xml:space="preserve">, 2013, </w:t>
      </w:r>
      <w:r w:rsidR="006A7CF0" w:rsidRPr="006C7788">
        <w:rPr>
          <w:b/>
          <w:lang w:val="en-US"/>
        </w:rPr>
        <w:t>85</w:t>
      </w:r>
      <w:r w:rsidR="006A7CF0" w:rsidRPr="006C7788">
        <w:rPr>
          <w:lang w:val="en-US"/>
        </w:rPr>
        <w:t>, 390</w:t>
      </w:r>
      <w:r w:rsidR="006A7CF0">
        <w:rPr>
          <w:lang w:val="en-US"/>
        </w:rPr>
        <w:t>; (</w:t>
      </w:r>
      <w:r w:rsidR="006A7CF0" w:rsidRPr="00624D8C">
        <w:rPr>
          <w:i/>
          <w:lang w:val="en-US"/>
        </w:rPr>
        <w:t>c</w:t>
      </w:r>
      <w:r w:rsidR="006A7CF0">
        <w:rPr>
          <w:lang w:val="en-US"/>
        </w:rPr>
        <w:t xml:space="preserve">) </w:t>
      </w:r>
      <w:r w:rsidRPr="00624D8C">
        <w:t xml:space="preserve">A. Martínez, C. Bienvenu, J. L. Jiménez Blanco, P. Vierling, C. Ortiz Mellet, J. M. García Fernández and C. Di Giorgio, </w:t>
      </w:r>
      <w:r w:rsidRPr="00624D8C">
        <w:rPr>
          <w:i/>
        </w:rPr>
        <w:t>J. Org. Chem.</w:t>
      </w:r>
      <w:r w:rsidRPr="00624D8C">
        <w:t xml:space="preserve">, 2013, </w:t>
      </w:r>
      <w:r w:rsidRPr="00624D8C">
        <w:rPr>
          <w:b/>
        </w:rPr>
        <w:t>78</w:t>
      </w:r>
      <w:r w:rsidRPr="00624D8C">
        <w:t xml:space="preserve">, 8143; </w:t>
      </w:r>
      <w:r w:rsidR="006A7CF0">
        <w:t>(</w:t>
      </w:r>
      <w:r w:rsidR="006A7CF0" w:rsidRPr="00624D8C">
        <w:rPr>
          <w:i/>
        </w:rPr>
        <w:t>d</w:t>
      </w:r>
      <w:r w:rsidR="006A7CF0">
        <w:t xml:space="preserve">) </w:t>
      </w:r>
      <w:r w:rsidRPr="00624D8C">
        <w:t xml:space="preserve">C. Bienvenu, A. Martínez, J. L. Jiménez Blanco, C. Di Giorgio, P. Vierling, C. Ortiz Mellet, J. Defaye and J. M. García Fernández, </w:t>
      </w:r>
      <w:r w:rsidRPr="00624D8C">
        <w:rPr>
          <w:i/>
        </w:rPr>
        <w:t>Org. Biomol. Chem.</w:t>
      </w:r>
      <w:r w:rsidRPr="00624D8C">
        <w:t xml:space="preserve">, 2012, </w:t>
      </w:r>
      <w:r w:rsidRPr="00624D8C">
        <w:rPr>
          <w:b/>
        </w:rPr>
        <w:t>10</w:t>
      </w:r>
      <w:r w:rsidRPr="00624D8C">
        <w:t>, 5570.</w:t>
      </w:r>
    </w:p>
    <w:p w:rsidR="00185858" w:rsidRPr="00A548DA" w:rsidRDefault="00D551E0" w:rsidP="00F157DD">
      <w:pPr>
        <w:pStyle w:val="RSCR02References"/>
      </w:pPr>
      <w:r w:rsidRPr="00A548DA">
        <w:t>(</w:t>
      </w:r>
      <w:r w:rsidRPr="00A548DA">
        <w:rPr>
          <w:i/>
        </w:rPr>
        <w:t>a</w:t>
      </w:r>
      <w:r w:rsidRPr="00A548DA">
        <w:t xml:space="preserve">) </w:t>
      </w:r>
      <w:r w:rsidR="006A7CF0" w:rsidRPr="00624D8C">
        <w:t>L. Gallego-Yerga,</w:t>
      </w:r>
      <w:r w:rsidR="006A7CF0" w:rsidRPr="00A548DA">
        <w:t xml:space="preserve"> M. J. González-Alva</w:t>
      </w:r>
      <w:r w:rsidR="006A7CF0" w:rsidRPr="00624D8C">
        <w:t>rez, N. Mayordomo, F. Santoyo-Gonzá</w:t>
      </w:r>
      <w:r w:rsidR="006A7CF0" w:rsidRPr="00A548DA">
        <w:t xml:space="preserve">lez, </w:t>
      </w:r>
      <w:r w:rsidR="006A7CF0" w:rsidRPr="00624D8C">
        <w:t>J. M. Benito, C. Ortiz Mellet, F. Mendicuti and</w:t>
      </w:r>
      <w:r w:rsidR="006A7CF0" w:rsidRPr="00A548DA">
        <w:t xml:space="preserve"> </w:t>
      </w:r>
      <w:r w:rsidR="006A7CF0" w:rsidRPr="00624D8C">
        <w:t xml:space="preserve">J. M. García Fernández, </w:t>
      </w:r>
      <w:r w:rsidR="006A7CF0" w:rsidRPr="00624D8C">
        <w:rPr>
          <w:i/>
        </w:rPr>
        <w:t>Chem. – Eur. J</w:t>
      </w:r>
      <w:r w:rsidR="006A7CF0" w:rsidRPr="00624D8C">
        <w:t xml:space="preserve">., 2014, </w:t>
      </w:r>
      <w:r w:rsidR="006A7CF0" w:rsidRPr="00624D8C">
        <w:rPr>
          <w:b/>
        </w:rPr>
        <w:t>20</w:t>
      </w:r>
      <w:r w:rsidR="006A7CF0" w:rsidRPr="00624D8C">
        <w:t>, 6622</w:t>
      </w:r>
      <w:r w:rsidRPr="00A548DA">
        <w:t>; (</w:t>
      </w:r>
      <w:r w:rsidRPr="00A548DA">
        <w:rPr>
          <w:i/>
        </w:rPr>
        <w:t>b</w:t>
      </w:r>
      <w:r w:rsidRPr="00A548DA">
        <w:t xml:space="preserve">) </w:t>
      </w:r>
      <w:r w:rsidR="00A548DA">
        <w:t>L.</w:t>
      </w:r>
      <w:r w:rsidR="00A548DA" w:rsidRPr="00624D8C">
        <w:t xml:space="preserve"> Gallego-Yerga L. Blanco-Fernández, K</w:t>
      </w:r>
      <w:r w:rsidR="00A548DA" w:rsidRPr="00A548DA">
        <w:t>.</w:t>
      </w:r>
      <w:r w:rsidR="00A548DA" w:rsidRPr="00624D8C">
        <w:t xml:space="preserve"> Urbiola</w:t>
      </w:r>
      <w:r w:rsidR="00624D8C">
        <w:t>,</w:t>
      </w:r>
      <w:r w:rsidR="00624D8C" w:rsidRPr="00624D8C">
        <w:t xml:space="preserve"> </w:t>
      </w:r>
      <w:r w:rsidR="00A548DA" w:rsidRPr="00624D8C">
        <w:t>T</w:t>
      </w:r>
      <w:r w:rsidR="00A548DA" w:rsidRPr="00A548DA">
        <w:t>.</w:t>
      </w:r>
      <w:r w:rsidR="00A548DA" w:rsidRPr="00624D8C">
        <w:t xml:space="preserve"> Carmona, G</w:t>
      </w:r>
      <w:r w:rsidR="00A548DA" w:rsidRPr="00A548DA">
        <w:t>.</w:t>
      </w:r>
      <w:r w:rsidR="00A548DA" w:rsidRPr="00624D8C">
        <w:t xml:space="preserve"> Marcelo, J</w:t>
      </w:r>
      <w:r w:rsidR="00A548DA" w:rsidRPr="00A548DA">
        <w:t>.</w:t>
      </w:r>
      <w:r w:rsidR="00A548DA" w:rsidRPr="00624D8C">
        <w:t xml:space="preserve"> M. Benito, F</w:t>
      </w:r>
      <w:r w:rsidR="00A548DA" w:rsidRPr="00A548DA">
        <w:t>.</w:t>
      </w:r>
      <w:r w:rsidR="00A548DA" w:rsidRPr="00624D8C">
        <w:t xml:space="preserve"> Mendicuti, C. Tros de Ilarduya, </w:t>
      </w:r>
      <w:r w:rsidRPr="00A548DA">
        <w:t xml:space="preserve">C. Ortiz Mellet and J. M. García Fernández, </w:t>
      </w:r>
      <w:r w:rsidRPr="00A548DA">
        <w:rPr>
          <w:i/>
        </w:rPr>
        <w:t>Chem. – Eur. J.</w:t>
      </w:r>
      <w:r w:rsidRPr="00A548DA">
        <w:t>, 20</w:t>
      </w:r>
      <w:r w:rsidR="00A548DA">
        <w:t>15</w:t>
      </w:r>
      <w:r w:rsidRPr="00A548DA">
        <w:t xml:space="preserve">, </w:t>
      </w:r>
      <w:r w:rsidR="00A548DA">
        <w:rPr>
          <w:b/>
        </w:rPr>
        <w:t>21</w:t>
      </w:r>
      <w:r w:rsidRPr="00A548DA">
        <w:t xml:space="preserve">, </w:t>
      </w:r>
      <w:r w:rsidR="00A548DA">
        <w:t xml:space="preserve">in press, DOI: </w:t>
      </w:r>
      <w:r w:rsidR="00A548DA" w:rsidRPr="00624D8C">
        <w:t>10.1002/chem.201501678</w:t>
      </w:r>
      <w:r w:rsidRPr="00A548DA">
        <w:t>.</w:t>
      </w:r>
    </w:p>
    <w:p w:rsidR="00185858" w:rsidRDefault="00185858" w:rsidP="00F157DD">
      <w:pPr>
        <w:pStyle w:val="RSCR02References"/>
      </w:pPr>
      <w:r w:rsidRPr="00227B40">
        <w:t xml:space="preserve">S. Kawakami and M. Hashida, </w:t>
      </w:r>
      <w:r w:rsidRPr="00227B40">
        <w:rPr>
          <w:i/>
        </w:rPr>
        <w:t>J. Control. Release</w:t>
      </w:r>
      <w:r w:rsidRPr="00227B40">
        <w:t xml:space="preserve">, 2014, </w:t>
      </w:r>
      <w:r w:rsidRPr="00227B40">
        <w:rPr>
          <w:b/>
        </w:rPr>
        <w:t>190</w:t>
      </w:r>
      <w:r>
        <w:t>, 542.</w:t>
      </w:r>
    </w:p>
    <w:p w:rsidR="00185858" w:rsidRDefault="00541B57" w:rsidP="00F157DD">
      <w:pPr>
        <w:pStyle w:val="RSCR02References"/>
      </w:pPr>
      <w:r w:rsidRPr="00227B40">
        <w:t>(</w:t>
      </w:r>
      <w:r w:rsidRPr="00227B40">
        <w:rPr>
          <w:i/>
        </w:rPr>
        <w:t>a</w:t>
      </w:r>
      <w:r w:rsidRPr="00227B40">
        <w:t xml:space="preserve">) P. Erbacher, A. C. Roche, M. Monsigny and P. Midoux, </w:t>
      </w:r>
      <w:r w:rsidRPr="00227B40">
        <w:rPr>
          <w:i/>
        </w:rPr>
        <w:t>Bioconjugate Chem.</w:t>
      </w:r>
      <w:r w:rsidRPr="00227B40">
        <w:t xml:space="preserve">, 1995, </w:t>
      </w:r>
      <w:r w:rsidRPr="00227B40">
        <w:rPr>
          <w:b/>
        </w:rPr>
        <w:t>6</w:t>
      </w:r>
      <w:r w:rsidRPr="00227B40">
        <w:t>, 401; (</w:t>
      </w:r>
      <w:r w:rsidRPr="00227B40">
        <w:rPr>
          <w:i/>
        </w:rPr>
        <w:t>b</w:t>
      </w:r>
      <w:r w:rsidRPr="00227B40">
        <w:t xml:space="preserve">) J. S. Remy, A. Kichler, V. Mordvinov, F. Schuber and J. P. Behr, </w:t>
      </w:r>
      <w:r w:rsidRPr="00227B40">
        <w:rPr>
          <w:i/>
        </w:rPr>
        <w:t>Proc. Natl. Acad. Sci.</w:t>
      </w:r>
      <w:r w:rsidRPr="00227B40">
        <w:t xml:space="preserve">, 1995, </w:t>
      </w:r>
      <w:r w:rsidRPr="00227B40">
        <w:rPr>
          <w:b/>
        </w:rPr>
        <w:t>92</w:t>
      </w:r>
      <w:r w:rsidRPr="00227B40">
        <w:t>, 1744; (</w:t>
      </w:r>
      <w:r w:rsidRPr="00227B40">
        <w:rPr>
          <w:i/>
        </w:rPr>
        <w:t>c</w:t>
      </w:r>
      <w:r w:rsidRPr="00227B40">
        <w:t xml:space="preserve">) T. Ferkol, J. C. Perales, F. Mularo and R. W. Hanson, </w:t>
      </w:r>
      <w:r w:rsidRPr="00227B40">
        <w:rPr>
          <w:i/>
        </w:rPr>
        <w:t>Proc. Natl. Acad. Sci.</w:t>
      </w:r>
      <w:r w:rsidRPr="00227B40">
        <w:t xml:space="preserve">, 1996, </w:t>
      </w:r>
      <w:r w:rsidRPr="00227B40">
        <w:rPr>
          <w:b/>
        </w:rPr>
        <w:t>93</w:t>
      </w:r>
      <w:r w:rsidRPr="00227B40">
        <w:t>, 101</w:t>
      </w:r>
      <w:r>
        <w:t>.</w:t>
      </w:r>
    </w:p>
    <w:p w:rsidR="00541B57" w:rsidRDefault="00541B57" w:rsidP="00F157DD">
      <w:pPr>
        <w:pStyle w:val="RSCR02References"/>
      </w:pPr>
      <w:r w:rsidRPr="00227B40">
        <w:t xml:space="preserve">A. Díaz-Moscoso, N. Guilloteau, C. Bienvenu, A. Méndez-Ardoy, J. L. Jiménez Blanco, J. M. Benito, L. Le Gourrierec, C. Di Giorgio, P. Vierling, J. Defaye, C. Ortiz Mellet and J. M. García Fernández, </w:t>
      </w:r>
      <w:r w:rsidRPr="00227B40">
        <w:rPr>
          <w:i/>
        </w:rPr>
        <w:t>Biomaterials</w:t>
      </w:r>
      <w:r w:rsidRPr="00227B40">
        <w:t xml:space="preserve">, 2011, </w:t>
      </w:r>
      <w:r w:rsidRPr="00227B40">
        <w:rPr>
          <w:b/>
        </w:rPr>
        <w:t>32</w:t>
      </w:r>
      <w:r w:rsidRPr="00227B40">
        <w:t>, 7263</w:t>
      </w:r>
      <w:r>
        <w:t>.</w:t>
      </w:r>
    </w:p>
    <w:p w:rsidR="00541B57" w:rsidRDefault="00541B57" w:rsidP="00541B57">
      <w:pPr>
        <w:pStyle w:val="RSCR02References"/>
      </w:pPr>
      <w:r>
        <w:t xml:space="preserve">S. M. D'Addio, S. Baldassano, L. Shi, L. Cheung, D. H. Adamson, M. Bruzek, J. E. Anthony, D. L. Laskin, P. J. Sinko, R. K. Prud'homme, </w:t>
      </w:r>
      <w:r w:rsidRPr="00541B57">
        <w:rPr>
          <w:i/>
        </w:rPr>
        <w:t>J. Control. Release</w:t>
      </w:r>
      <w:r>
        <w:t xml:space="preserve">, 2013, </w:t>
      </w:r>
      <w:r w:rsidRPr="00541B57">
        <w:rPr>
          <w:b/>
        </w:rPr>
        <w:t>138</w:t>
      </w:r>
      <w:r>
        <w:t>, 41.</w:t>
      </w:r>
    </w:p>
    <w:p w:rsidR="00541B57" w:rsidRDefault="00541B57" w:rsidP="00541B57">
      <w:pPr>
        <w:pStyle w:val="RSCR02References"/>
      </w:pPr>
      <w:r w:rsidRPr="00227B40">
        <w:t xml:space="preserve">E. M. Aguilar Moncayo, N. Guilloteau, C. Bienvenu, J. L. Jiménez Blanco, C. Di Giorgio, P. Vierling, J. M. Benito, C. Ortiz Mellet and J. M. García Fernández, </w:t>
      </w:r>
      <w:r w:rsidRPr="00227B40">
        <w:rPr>
          <w:i/>
        </w:rPr>
        <w:t>New J. Chem.</w:t>
      </w:r>
      <w:r w:rsidRPr="00227B40">
        <w:t xml:space="preserve">, 2014, </w:t>
      </w:r>
      <w:r w:rsidRPr="00227B40">
        <w:rPr>
          <w:b/>
        </w:rPr>
        <w:t>38</w:t>
      </w:r>
      <w:r w:rsidRPr="00227B40">
        <w:t>, 5215</w:t>
      </w:r>
      <w:r>
        <w:t>.</w:t>
      </w:r>
    </w:p>
    <w:p w:rsidR="00353BBC" w:rsidRPr="00564DEF" w:rsidRDefault="005370B9" w:rsidP="00353BBC">
      <w:pPr>
        <w:pStyle w:val="RSCR02References"/>
        <w:rPr>
          <w:lang w:val="es-ES"/>
        </w:rPr>
      </w:pPr>
      <w:r w:rsidRPr="00564DEF">
        <w:rPr>
          <w:lang w:val="es-ES"/>
        </w:rPr>
        <w:t>(</w:t>
      </w:r>
      <w:r w:rsidRPr="00564DEF">
        <w:rPr>
          <w:i/>
          <w:lang w:val="es-ES"/>
        </w:rPr>
        <w:t>a</w:t>
      </w:r>
      <w:r w:rsidRPr="00564DEF">
        <w:rPr>
          <w:lang w:val="es-ES"/>
        </w:rPr>
        <w:t xml:space="preserve">) A. Méndez-Ardoy, M. Gómez-García, C. Ortiz-Mellet, N. Sevillano, M. D. Girón, R. Salto, F. Santoyo-González and J. M. García Fernández, </w:t>
      </w:r>
      <w:r w:rsidRPr="00564DEF">
        <w:rPr>
          <w:i/>
          <w:lang w:val="es-ES"/>
        </w:rPr>
        <w:t>Org. Biomol. Chem.</w:t>
      </w:r>
      <w:r w:rsidRPr="00564DEF">
        <w:rPr>
          <w:lang w:val="es-ES"/>
        </w:rPr>
        <w:t xml:space="preserve">, 2009, </w:t>
      </w:r>
      <w:r w:rsidRPr="00564DEF">
        <w:rPr>
          <w:b/>
          <w:lang w:val="es-ES"/>
        </w:rPr>
        <w:t>7</w:t>
      </w:r>
      <w:r w:rsidRPr="00564DEF">
        <w:rPr>
          <w:lang w:val="es-ES"/>
        </w:rPr>
        <w:t>, 2681; (</w:t>
      </w:r>
      <w:r w:rsidRPr="00564DEF">
        <w:rPr>
          <w:i/>
          <w:lang w:val="es-ES"/>
        </w:rPr>
        <w:t>b</w:t>
      </w:r>
      <w:r w:rsidRPr="00564DEF">
        <w:rPr>
          <w:lang w:val="es-ES"/>
        </w:rPr>
        <w:t xml:space="preserve">) A. Díaz-Moscoso, L. Le Gourrierec, M. Gómez-García, J. M. Benito, P. Balbuena, F. Ortega-Caballero, N. Guilloteau, C. Di Giorgio, P. Vierling, J. Defaye, C. Ortiz Mellet and J. M. García Fernández, </w:t>
      </w:r>
      <w:r w:rsidRPr="00564DEF">
        <w:rPr>
          <w:i/>
          <w:lang w:val="es-ES"/>
        </w:rPr>
        <w:t>Chem. – Eur. J.</w:t>
      </w:r>
      <w:r w:rsidRPr="00564DEF">
        <w:rPr>
          <w:lang w:val="es-ES"/>
        </w:rPr>
        <w:t xml:space="preserve">, 2009, </w:t>
      </w:r>
      <w:r w:rsidRPr="00564DEF">
        <w:rPr>
          <w:b/>
          <w:lang w:val="es-ES"/>
        </w:rPr>
        <w:t>15</w:t>
      </w:r>
      <w:r w:rsidRPr="00564DEF">
        <w:rPr>
          <w:lang w:val="es-ES"/>
        </w:rPr>
        <w:t>, 12871</w:t>
      </w:r>
      <w:r w:rsidR="00353BBC" w:rsidRPr="00564DEF">
        <w:rPr>
          <w:lang w:val="es-ES"/>
        </w:rPr>
        <w:t>.</w:t>
      </w:r>
    </w:p>
    <w:p w:rsidR="005F65A2" w:rsidRDefault="008C62E7" w:rsidP="00541B57">
      <w:pPr>
        <w:pStyle w:val="RSCR02References"/>
      </w:pPr>
      <w:r w:rsidRPr="00564DEF">
        <w:rPr>
          <w:lang w:val="es-ES"/>
        </w:rPr>
        <w:t xml:space="preserve">A. Mendez-Ardoy, N. Guilloteau, C. Di Giorgio, P. Vierling, F. Santoyo-González, C. Ortiz Mellet and J. M. García Fernández, </w:t>
      </w:r>
      <w:r w:rsidRPr="00564DEF">
        <w:rPr>
          <w:i/>
          <w:lang w:val="es-ES"/>
        </w:rPr>
        <w:t xml:space="preserve">J. Org. </w:t>
      </w:r>
      <w:r w:rsidRPr="00353BBC">
        <w:rPr>
          <w:i/>
        </w:rPr>
        <w:t>Chem.</w:t>
      </w:r>
      <w:r w:rsidRPr="00227B40">
        <w:t>, 201</w:t>
      </w:r>
      <w:r>
        <w:t>1</w:t>
      </w:r>
      <w:r w:rsidRPr="00227B40">
        <w:t xml:space="preserve">, </w:t>
      </w:r>
      <w:r>
        <w:rPr>
          <w:b/>
        </w:rPr>
        <w:t>76</w:t>
      </w:r>
      <w:r w:rsidRPr="00227B40">
        <w:t xml:space="preserve">, </w:t>
      </w:r>
      <w:r>
        <w:t>5882</w:t>
      </w:r>
      <w:r w:rsidR="005F65A2">
        <w:t>.</w:t>
      </w:r>
    </w:p>
    <w:p w:rsidR="008C62E7" w:rsidRDefault="008C62E7" w:rsidP="008C62E7">
      <w:pPr>
        <w:pStyle w:val="RSCR02References"/>
      </w:pPr>
      <w:r w:rsidRPr="00227B40">
        <w:t xml:space="preserve">C. Grabosch, K. Kolbe and T. K. Lindhorst, </w:t>
      </w:r>
      <w:r w:rsidRPr="00227B40">
        <w:rPr>
          <w:i/>
        </w:rPr>
        <w:t>ChemBioChem</w:t>
      </w:r>
      <w:r w:rsidRPr="00227B40">
        <w:t xml:space="preserve">, 2012, </w:t>
      </w:r>
      <w:r w:rsidRPr="00227B40">
        <w:rPr>
          <w:b/>
        </w:rPr>
        <w:t>13</w:t>
      </w:r>
      <w:r w:rsidRPr="00227B40">
        <w:t>, 1874</w:t>
      </w:r>
      <w:r>
        <w:t>.</w:t>
      </w:r>
    </w:p>
    <w:p w:rsidR="009E0DAB" w:rsidRPr="00317A11" w:rsidRDefault="00170EB5" w:rsidP="0055097C">
      <w:pPr>
        <w:pStyle w:val="RSCR02References"/>
      </w:pPr>
      <w:r>
        <w:t>(</w:t>
      </w:r>
      <w:r w:rsidRPr="00E91FDD">
        <w:rPr>
          <w:i/>
        </w:rPr>
        <w:t>a</w:t>
      </w:r>
      <w:r>
        <w:t xml:space="preserve">) N. Symens, A. </w:t>
      </w:r>
      <w:r w:rsidR="00E529CE">
        <w:t>Méndez</w:t>
      </w:r>
      <w:r>
        <w:t xml:space="preserve">-Ardoy, A. Díaz-Moscoso, E. </w:t>
      </w:r>
      <w:r w:rsidR="00E529CE">
        <w:t>Sánchez</w:t>
      </w:r>
      <w:r>
        <w:t>-</w:t>
      </w:r>
      <w:r w:rsidR="00E529CE">
        <w:t>Fernández</w:t>
      </w:r>
      <w:r>
        <w:t xml:space="preserve">, K. Remaut, J. Demeester, J. M. García </w:t>
      </w:r>
      <w:r w:rsidR="00E529CE">
        <w:t>Fernández</w:t>
      </w:r>
      <w:r>
        <w:t xml:space="preserve">, S. C. De Smedt and </w:t>
      </w:r>
      <w:r w:rsidRPr="00317A11">
        <w:t xml:space="preserve">J. Rejman, </w:t>
      </w:r>
      <w:r w:rsidRPr="00317A11">
        <w:rPr>
          <w:i/>
        </w:rPr>
        <w:t>Bioconjugate Chem.</w:t>
      </w:r>
      <w:r w:rsidR="0055097C" w:rsidRPr="00317A11">
        <w:t xml:space="preserve">, </w:t>
      </w:r>
      <w:r w:rsidRPr="00317A11">
        <w:t xml:space="preserve">2012, </w:t>
      </w:r>
      <w:r w:rsidRPr="00317A11">
        <w:rPr>
          <w:b/>
        </w:rPr>
        <w:t>23</w:t>
      </w:r>
      <w:r w:rsidRPr="00317A11">
        <w:t>, 1276; (</w:t>
      </w:r>
      <w:r w:rsidRPr="00317A11">
        <w:rPr>
          <w:i/>
        </w:rPr>
        <w:t>b</w:t>
      </w:r>
      <w:r w:rsidRPr="00317A11">
        <w:t>)</w:t>
      </w:r>
      <w:r w:rsidR="0082581F" w:rsidRPr="00317A11">
        <w:t xml:space="preserve"> W. Yeeprae, S. Kawakami, F. Yamashita and M. Hashida, </w:t>
      </w:r>
      <w:r w:rsidR="0082581F" w:rsidRPr="00317A11">
        <w:rPr>
          <w:i/>
        </w:rPr>
        <w:t>J. Control. Release</w:t>
      </w:r>
      <w:r w:rsidR="0055097C" w:rsidRPr="00317A11">
        <w:t xml:space="preserve">, </w:t>
      </w:r>
      <w:r w:rsidR="0082581F" w:rsidRPr="00317A11">
        <w:t xml:space="preserve">2006, </w:t>
      </w:r>
      <w:r w:rsidR="0082581F" w:rsidRPr="00317A11">
        <w:rPr>
          <w:b/>
        </w:rPr>
        <w:t>114</w:t>
      </w:r>
      <w:r w:rsidR="0082581F" w:rsidRPr="00317A11">
        <w:t>, 193; (</w:t>
      </w:r>
      <w:r w:rsidR="0082581F" w:rsidRPr="00317A11">
        <w:rPr>
          <w:i/>
        </w:rPr>
        <w:t>c</w:t>
      </w:r>
      <w:r w:rsidR="0082581F" w:rsidRPr="00317A11">
        <w:t>)</w:t>
      </w:r>
      <w:r w:rsidR="00957913" w:rsidRPr="00317A11">
        <w:t xml:space="preserve"> L. Raviv, M. Jaron-Mendelson and A. David, </w:t>
      </w:r>
      <w:r w:rsidR="00957913" w:rsidRPr="00317A11">
        <w:rPr>
          <w:i/>
        </w:rPr>
        <w:t>Mol. Pharmaceutics</w:t>
      </w:r>
      <w:r w:rsidR="0055097C" w:rsidRPr="00317A11">
        <w:t xml:space="preserve">, </w:t>
      </w:r>
      <w:r w:rsidR="00957913" w:rsidRPr="00317A11">
        <w:t xml:space="preserve">2015, </w:t>
      </w:r>
      <w:r w:rsidR="00957913" w:rsidRPr="00317A11">
        <w:rPr>
          <w:b/>
        </w:rPr>
        <w:t>12</w:t>
      </w:r>
      <w:r w:rsidR="00957913" w:rsidRPr="00317A11">
        <w:t>, 453</w:t>
      </w:r>
      <w:r w:rsidR="0055097C" w:rsidRPr="00317A11">
        <w:t>; (</w:t>
      </w:r>
      <w:r w:rsidR="0055097C" w:rsidRPr="00317A11">
        <w:rPr>
          <w:i/>
        </w:rPr>
        <w:t>d</w:t>
      </w:r>
      <w:r w:rsidR="0055097C" w:rsidRPr="00317A11">
        <w:t xml:space="preserve">) S. Chu, C. Tang and C. Yin, </w:t>
      </w:r>
      <w:r w:rsidR="0055097C" w:rsidRPr="00317A11">
        <w:rPr>
          <w:i/>
        </w:rPr>
        <w:t>Biomaterials</w:t>
      </w:r>
      <w:r w:rsidR="0055097C" w:rsidRPr="00317A11">
        <w:t xml:space="preserve">, 2015, </w:t>
      </w:r>
      <w:r w:rsidR="0055097C" w:rsidRPr="00317A11">
        <w:rPr>
          <w:b/>
        </w:rPr>
        <w:t>52</w:t>
      </w:r>
      <w:r w:rsidR="0055097C" w:rsidRPr="00317A11">
        <w:t>, 229</w:t>
      </w:r>
      <w:r w:rsidRPr="00317A11">
        <w:t>.</w:t>
      </w:r>
    </w:p>
    <w:p w:rsidR="00170EB5" w:rsidRPr="00317A11" w:rsidRDefault="00E91FDD" w:rsidP="00957913">
      <w:pPr>
        <w:pStyle w:val="RSCR02References"/>
      </w:pPr>
      <w:r>
        <w:lastRenderedPageBreak/>
        <w:t>(</w:t>
      </w:r>
      <w:r w:rsidRPr="00115DBF">
        <w:rPr>
          <w:i/>
        </w:rPr>
        <w:t>a</w:t>
      </w:r>
      <w:r>
        <w:t xml:space="preserve">) </w:t>
      </w:r>
      <w:r w:rsidR="00957913" w:rsidRPr="00317A11">
        <w:t xml:space="preserve">H. Arima, K. Motoyama and T. Higashi, </w:t>
      </w:r>
      <w:r w:rsidR="00957913" w:rsidRPr="00317A11">
        <w:rPr>
          <w:i/>
        </w:rPr>
        <w:t>Adv. Drug Deliv. Rev.</w:t>
      </w:r>
      <w:r w:rsidR="0055097C" w:rsidRPr="00317A11">
        <w:t xml:space="preserve">, </w:t>
      </w:r>
      <w:r w:rsidR="00957913" w:rsidRPr="00317A11">
        <w:t xml:space="preserve">2013, </w:t>
      </w:r>
      <w:r w:rsidR="00957913" w:rsidRPr="00317A11">
        <w:rPr>
          <w:b/>
        </w:rPr>
        <w:t>65</w:t>
      </w:r>
      <w:r w:rsidR="00957913" w:rsidRPr="00317A11">
        <w:t>, 1204</w:t>
      </w:r>
      <w:r>
        <w:t>; (</w:t>
      </w:r>
      <w:r w:rsidRPr="00115DBF">
        <w:rPr>
          <w:i/>
        </w:rPr>
        <w:t>b</w:t>
      </w:r>
      <w:r>
        <w:t xml:space="preserve">) </w:t>
      </w:r>
      <w:r w:rsidRPr="00115DBF">
        <w:rPr>
          <w:lang w:val="en-US"/>
        </w:rPr>
        <w:t>L</w:t>
      </w:r>
      <w:r>
        <w:rPr>
          <w:lang w:val="en-US"/>
        </w:rPr>
        <w:t>.</w:t>
      </w:r>
      <w:r w:rsidRPr="00E91FDD">
        <w:rPr>
          <w:lang w:val="en-US"/>
        </w:rPr>
        <w:t xml:space="preserve"> L. Kiessling</w:t>
      </w:r>
      <w:r>
        <w:rPr>
          <w:lang w:val="en-US"/>
        </w:rPr>
        <w:t xml:space="preserve"> </w:t>
      </w:r>
      <w:r w:rsidRPr="00115DBF">
        <w:rPr>
          <w:lang w:val="en-US"/>
        </w:rPr>
        <w:t>and J</w:t>
      </w:r>
      <w:r>
        <w:rPr>
          <w:lang w:val="en-US"/>
        </w:rPr>
        <w:t>.</w:t>
      </w:r>
      <w:r w:rsidRPr="00115DBF">
        <w:rPr>
          <w:lang w:val="en-US"/>
        </w:rPr>
        <w:t xml:space="preserve"> C. Grim</w:t>
      </w:r>
      <w:r>
        <w:rPr>
          <w:lang w:val="en-US"/>
        </w:rPr>
        <w:t xml:space="preserve">, </w:t>
      </w:r>
      <w:r w:rsidRPr="00115DBF">
        <w:rPr>
          <w:i/>
          <w:lang w:val="en-US"/>
        </w:rPr>
        <w:t>Chem. Soc. Rev.</w:t>
      </w:r>
      <w:r>
        <w:rPr>
          <w:lang w:val="en-US"/>
        </w:rPr>
        <w:t xml:space="preserve"> 2013, </w:t>
      </w:r>
      <w:r w:rsidR="00FC48F9" w:rsidRPr="00115DBF">
        <w:rPr>
          <w:b/>
          <w:lang w:val="en-US"/>
        </w:rPr>
        <w:t>42</w:t>
      </w:r>
      <w:r w:rsidR="00FC48F9">
        <w:rPr>
          <w:lang w:val="en-US"/>
        </w:rPr>
        <w:t>, 4476.</w:t>
      </w:r>
    </w:p>
    <w:p w:rsidR="00142C5D" w:rsidRDefault="00142C5D" w:rsidP="00957913">
      <w:pPr>
        <w:pStyle w:val="RSCR02References"/>
      </w:pPr>
      <w:r w:rsidRPr="00227B40">
        <w:t xml:space="preserve">O. Hayashida, K. Mizuki, K. Akagi, A. Matsuo, T. Kanamori, T. Nakai, S. Sando and Y. Aoyama, </w:t>
      </w:r>
      <w:r w:rsidRPr="00227B40">
        <w:rPr>
          <w:i/>
        </w:rPr>
        <w:t>J. Am. Chem. Soc.</w:t>
      </w:r>
      <w:r w:rsidRPr="00227B40">
        <w:t xml:space="preserve">, 2003, </w:t>
      </w:r>
      <w:r w:rsidRPr="00227B40">
        <w:rPr>
          <w:b/>
        </w:rPr>
        <w:t>125</w:t>
      </w:r>
      <w:r w:rsidRPr="00227B40">
        <w:t>, 594.</w:t>
      </w:r>
    </w:p>
    <w:p w:rsidR="00142C5D" w:rsidRDefault="00142C5D" w:rsidP="00957913">
      <w:pPr>
        <w:pStyle w:val="RSCR02References"/>
      </w:pPr>
      <w:r w:rsidRPr="00227B40">
        <w:t xml:space="preserve">A. Martínez, C. Ortiz Mellet and J. M. García Fernández, </w:t>
      </w:r>
      <w:r w:rsidRPr="00227B40">
        <w:rPr>
          <w:i/>
        </w:rPr>
        <w:t>Chem. Soc. Rev.</w:t>
      </w:r>
      <w:r w:rsidRPr="00227B40">
        <w:t xml:space="preserve">, 2013, </w:t>
      </w:r>
      <w:r w:rsidRPr="00227B40">
        <w:rPr>
          <w:b/>
        </w:rPr>
        <w:t>42</w:t>
      </w:r>
      <w:r w:rsidRPr="00227B40">
        <w:t>, 4746</w:t>
      </w:r>
      <w:r>
        <w:t>.</w:t>
      </w:r>
    </w:p>
    <w:p w:rsidR="00142C5D" w:rsidRDefault="00840845" w:rsidP="00957913">
      <w:pPr>
        <w:pStyle w:val="RSCR02References"/>
      </w:pPr>
      <w:r w:rsidRPr="00227B40">
        <w:t>(</w:t>
      </w:r>
      <w:r w:rsidRPr="00624D8C">
        <w:rPr>
          <w:i/>
        </w:rPr>
        <w:t>a</w:t>
      </w:r>
      <w:r w:rsidRPr="00227B40">
        <w:t xml:space="preserve">) C. D. Muller and F. Schuber, </w:t>
      </w:r>
      <w:r w:rsidRPr="00227B40">
        <w:rPr>
          <w:i/>
        </w:rPr>
        <w:t xml:space="preserve">Biochim. Biophys. </w:t>
      </w:r>
      <w:r w:rsidRPr="00564DEF">
        <w:rPr>
          <w:i/>
        </w:rPr>
        <w:t>Acta</w:t>
      </w:r>
      <w:r w:rsidRPr="00564DEF">
        <w:t xml:space="preserve">, 1989, </w:t>
      </w:r>
      <w:r w:rsidRPr="00564DEF">
        <w:rPr>
          <w:b/>
        </w:rPr>
        <w:t>986</w:t>
      </w:r>
      <w:r w:rsidRPr="00564DEF">
        <w:t>, 97; (</w:t>
      </w:r>
      <w:r w:rsidRPr="00564DEF">
        <w:rPr>
          <w:i/>
        </w:rPr>
        <w:t>b</w:t>
      </w:r>
      <w:r w:rsidRPr="00564DEF">
        <w:t xml:space="preserve">) </w:t>
      </w:r>
      <w:r w:rsidR="00A548DA" w:rsidRPr="00564DEF">
        <w:t xml:space="preserve">J. Rodríguez-Lavado, M. de la Mata, J. L. Jiménez-Blanco, M. I. García-Moreno, J. M. Benito, A. Díaz-Quintana, J. A. Sánchez-Alcázar, K. Higaki, E. Nanba, K. Ohno, Y. Suzuki, C. Ortiz Mellet and J. M. García Fernández, </w:t>
      </w:r>
      <w:r w:rsidR="00A548DA" w:rsidRPr="00564DEF">
        <w:rPr>
          <w:i/>
        </w:rPr>
        <w:t xml:space="preserve">Org. </w:t>
      </w:r>
      <w:r w:rsidR="00A548DA" w:rsidRPr="00A548DA">
        <w:rPr>
          <w:i/>
          <w:lang w:val="en-US"/>
        </w:rPr>
        <w:t>Bimol. Chem.</w:t>
      </w:r>
      <w:r w:rsidR="00A548DA" w:rsidRPr="00A548DA">
        <w:rPr>
          <w:lang w:val="en-US"/>
        </w:rPr>
        <w:t xml:space="preserve">, 2014, </w:t>
      </w:r>
      <w:r w:rsidR="00A548DA" w:rsidRPr="00A548DA">
        <w:rPr>
          <w:b/>
          <w:lang w:val="en-US"/>
        </w:rPr>
        <w:t>12</w:t>
      </w:r>
      <w:r w:rsidR="00A548DA" w:rsidRPr="00A548DA">
        <w:rPr>
          <w:lang w:val="en-US"/>
        </w:rPr>
        <w:t>, 2289.</w:t>
      </w:r>
    </w:p>
    <w:p w:rsidR="00840845" w:rsidRDefault="00840845" w:rsidP="00957913">
      <w:pPr>
        <w:pStyle w:val="RSCR02References"/>
      </w:pPr>
      <w:r w:rsidRPr="00227B40">
        <w:t>(</w:t>
      </w:r>
      <w:r w:rsidRPr="00227B40">
        <w:rPr>
          <w:i/>
        </w:rPr>
        <w:t>a</w:t>
      </w:r>
      <w:r w:rsidRPr="00227B40">
        <w:t xml:space="preserve">) M.-H. Louis, S. Dutoit, Y. Denoux, P. Erbacher, E. Deslandes, J.-P. Behr, P. Gauduchon and L. Poulain, </w:t>
      </w:r>
      <w:r w:rsidRPr="00227B40">
        <w:rPr>
          <w:i/>
        </w:rPr>
        <w:t>Cancer Gene Ther.</w:t>
      </w:r>
      <w:r w:rsidRPr="00227B40">
        <w:t xml:space="preserve">, 2006, </w:t>
      </w:r>
      <w:r w:rsidRPr="00227B40">
        <w:rPr>
          <w:b/>
        </w:rPr>
        <w:t>13</w:t>
      </w:r>
      <w:r w:rsidRPr="00227B40">
        <w:t>, 367; (</w:t>
      </w:r>
      <w:r w:rsidRPr="00227B40">
        <w:rPr>
          <w:i/>
        </w:rPr>
        <w:t>b</w:t>
      </w:r>
      <w:r w:rsidRPr="00227B40">
        <w:t>) O. Boussif, F. Lezoualc’h, M. A. Zanta, M. D. Mergny, D. Scherman, B. Demeneix</w:t>
      </w:r>
      <w:r w:rsidR="000F1081">
        <w:t xml:space="preserve"> and</w:t>
      </w:r>
      <w:r w:rsidRPr="00227B40">
        <w:t xml:space="preserve"> J.-P. Behr,</w:t>
      </w:r>
      <w:r w:rsidRPr="00227B40">
        <w:rPr>
          <w:i/>
        </w:rPr>
        <w:t xml:space="preserve"> Proc. Natl. Acad. Sci. USA</w:t>
      </w:r>
      <w:r w:rsidRPr="00227B40">
        <w:t xml:space="preserve">, 1995, </w:t>
      </w:r>
      <w:r w:rsidRPr="00227B40">
        <w:rPr>
          <w:b/>
        </w:rPr>
        <w:t>92</w:t>
      </w:r>
      <w:r w:rsidRPr="00227B40">
        <w:t>, 7297.</w:t>
      </w:r>
    </w:p>
    <w:p w:rsidR="00840845" w:rsidRDefault="00840845" w:rsidP="00957913">
      <w:pPr>
        <w:pStyle w:val="RSCR02References"/>
      </w:pPr>
      <w:r w:rsidRPr="00227B40">
        <w:t>(</w:t>
      </w:r>
      <w:r w:rsidRPr="00227B40">
        <w:rPr>
          <w:i/>
        </w:rPr>
        <w:t>a</w:t>
      </w:r>
      <w:r w:rsidRPr="00227B40">
        <w:t xml:space="preserve">) E. Letrou-Bonneval, R. Chèvre, O. Lambert, P. Costet, C. André, C. Tellier and B. Pitard, </w:t>
      </w:r>
      <w:r w:rsidRPr="00227B40">
        <w:rPr>
          <w:i/>
        </w:rPr>
        <w:t>J. Gene Med.</w:t>
      </w:r>
      <w:r w:rsidRPr="00227B40">
        <w:t xml:space="preserve">, 2008, </w:t>
      </w:r>
      <w:r w:rsidRPr="00227B40">
        <w:rPr>
          <w:b/>
        </w:rPr>
        <w:t>10</w:t>
      </w:r>
      <w:r w:rsidRPr="00227B40">
        <w:t>, 1198; (</w:t>
      </w:r>
      <w:r w:rsidRPr="00227B40">
        <w:rPr>
          <w:i/>
        </w:rPr>
        <w:t>b</w:t>
      </w:r>
      <w:r w:rsidRPr="00227B40">
        <w:t xml:space="preserve">) J. S. Remy, A. Kichler, V. Mordvinov, F. Schuber and J.-P. Behr, </w:t>
      </w:r>
      <w:r w:rsidRPr="00227B40">
        <w:rPr>
          <w:i/>
        </w:rPr>
        <w:t>Proc. Natl. Acad. Sci. USA</w:t>
      </w:r>
      <w:r w:rsidRPr="00227B40">
        <w:t xml:space="preserve">, 1995, </w:t>
      </w:r>
      <w:r w:rsidRPr="00227B40">
        <w:rPr>
          <w:b/>
        </w:rPr>
        <w:t>92</w:t>
      </w:r>
      <w:r w:rsidRPr="00227B40">
        <w:t>, 1744.</w:t>
      </w:r>
    </w:p>
    <w:p w:rsidR="00317A11" w:rsidRPr="00241ACD" w:rsidRDefault="00317A11" w:rsidP="00317A11">
      <w:pPr>
        <w:pStyle w:val="RSCR02References"/>
      </w:pPr>
      <w:r>
        <w:t>(</w:t>
      </w:r>
      <w:r w:rsidRPr="00317A11">
        <w:rPr>
          <w:i/>
        </w:rPr>
        <w:t>a</w:t>
      </w:r>
      <w:r>
        <w:t xml:space="preserve">) J. Gaucheron, C. Boulanger, C. Santaella, N. Sbirrazzuoli, O. Boussif and P. Vierling, </w:t>
      </w:r>
      <w:r>
        <w:rPr>
          <w:i/>
        </w:rPr>
        <w:t>Bioconjugate Chem.</w:t>
      </w:r>
      <w:r>
        <w:t xml:space="preserve">, 2001, </w:t>
      </w:r>
      <w:r>
        <w:rPr>
          <w:b/>
        </w:rPr>
        <w:t>12</w:t>
      </w:r>
      <w:r>
        <w:t>, 949; (</w:t>
      </w:r>
      <w:r w:rsidRPr="00317A11">
        <w:rPr>
          <w:i/>
        </w:rPr>
        <w:t>b</w:t>
      </w:r>
      <w:r>
        <w:t xml:space="preserve">) N. V. Craynest, C. Santaella, O. Boussif and P. Vierling, </w:t>
      </w:r>
      <w:r>
        <w:rPr>
          <w:i/>
        </w:rPr>
        <w:t>Bioconjugate Chem.</w:t>
      </w:r>
      <w:r>
        <w:t xml:space="preserve">, 2002, </w:t>
      </w:r>
      <w:r>
        <w:rPr>
          <w:b/>
        </w:rPr>
        <w:t>13</w:t>
      </w:r>
      <w:r>
        <w:t>, 59.</w:t>
      </w:r>
    </w:p>
    <w:sectPr w:rsidR="00317A11"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491" w:rsidRDefault="00CC6491" w:rsidP="00E547DB">
      <w:pPr>
        <w:spacing w:after="0" w:line="240" w:lineRule="auto"/>
      </w:pPr>
      <w:r>
        <w:separator/>
      </w:r>
    </w:p>
    <w:p w:rsidR="00CC6491" w:rsidRDefault="00CC6491"/>
    <w:p w:rsidR="00CC6491" w:rsidRDefault="00CC6491"/>
    <w:p w:rsidR="00CC6491" w:rsidRDefault="00CC6491"/>
    <w:p w:rsidR="00CC6491" w:rsidRDefault="00CC6491"/>
    <w:p w:rsidR="00CC6491" w:rsidRDefault="00CC6491"/>
  </w:endnote>
  <w:endnote w:type="continuationSeparator" w:id="0">
    <w:p w:rsidR="00CC6491" w:rsidRDefault="00CC6491" w:rsidP="00E547DB">
      <w:pPr>
        <w:spacing w:after="0" w:line="240" w:lineRule="auto"/>
      </w:pPr>
      <w:r>
        <w:continuationSeparator/>
      </w:r>
    </w:p>
    <w:p w:rsidR="00CC6491" w:rsidRDefault="00CC6491"/>
    <w:p w:rsidR="00CC6491" w:rsidRDefault="00CC6491"/>
    <w:p w:rsidR="00CC6491" w:rsidRDefault="00CC6491"/>
    <w:p w:rsidR="00CC6491" w:rsidRDefault="00CC6491"/>
    <w:p w:rsidR="00CC6491" w:rsidRDefault="00CC64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99B27F20-B64B-476F-80AB-5EB4FDDC8690}"/>
    <w:embedBold r:id="rId2" w:fontKey="{472EF5EA-2A59-4474-8D10-B18C8DE49329}"/>
    <w:embedItalic r:id="rId3" w:fontKey="{BEDE6E01-825F-49EF-98CD-05B1BC22321C}"/>
    <w:embedBoldItalic r:id="rId4" w:fontKey="{3EF66075-A879-47E8-8C1D-116D42A898BB}"/>
  </w:font>
  <w:font w:name="Tahoma">
    <w:panose1 w:val="020B0604030504040204"/>
    <w:charset w:val="00"/>
    <w:family w:val="swiss"/>
    <w:pitch w:val="variable"/>
    <w:sig w:usb0="E1002EFF" w:usb1="C000605B" w:usb2="00000029" w:usb3="00000000" w:csb0="000101FF" w:csb1="00000000"/>
    <w:embedRegular r:id="rId5" w:fontKey="{CAED4CFA-F274-435D-9730-E008B312D38B}"/>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BDCF53A7-1225-4955-9600-6C1E637E07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965" w:rsidRPr="006602F1" w:rsidRDefault="00C054FE" w:rsidP="00D45ADF">
    <w:pPr>
      <w:pStyle w:val="Piedepgina"/>
      <w:tabs>
        <w:tab w:val="clear" w:pos="4513"/>
        <w:tab w:val="clear" w:pos="9026"/>
        <w:tab w:val="right" w:pos="10206"/>
      </w:tabs>
      <w:spacing w:before="480"/>
      <w:rPr>
        <w:spacing w:val="10"/>
        <w:sz w:val="16"/>
        <w:szCs w:val="16"/>
      </w:rPr>
    </w:pPr>
    <w:r w:rsidRPr="006602F1">
      <w:rPr>
        <w:b/>
        <w:spacing w:val="10"/>
        <w:sz w:val="16"/>
        <w:szCs w:val="16"/>
      </w:rPr>
      <w:fldChar w:fldCharType="begin"/>
    </w:r>
    <w:r w:rsidR="00AC2965" w:rsidRPr="006602F1">
      <w:rPr>
        <w:b/>
        <w:spacing w:val="10"/>
        <w:sz w:val="16"/>
        <w:szCs w:val="16"/>
      </w:rPr>
      <w:instrText xml:space="preserve"> PAGE   \* MERGEFORMAT </w:instrText>
    </w:r>
    <w:r w:rsidRPr="006602F1">
      <w:rPr>
        <w:b/>
        <w:spacing w:val="10"/>
        <w:sz w:val="16"/>
        <w:szCs w:val="16"/>
      </w:rPr>
      <w:fldChar w:fldCharType="separate"/>
    </w:r>
    <w:r w:rsidR="00433802">
      <w:rPr>
        <w:b/>
        <w:noProof/>
        <w:spacing w:val="10"/>
        <w:sz w:val="16"/>
        <w:szCs w:val="16"/>
      </w:rPr>
      <w:t>8</w:t>
    </w:r>
    <w:r w:rsidRPr="006602F1">
      <w:rPr>
        <w:b/>
        <w:noProof/>
        <w:spacing w:val="10"/>
        <w:sz w:val="16"/>
        <w:szCs w:val="16"/>
      </w:rPr>
      <w:fldChar w:fldCharType="end"/>
    </w:r>
    <w:r w:rsidR="00AC2965" w:rsidRPr="006602F1">
      <w:rPr>
        <w:noProof/>
        <w:spacing w:val="10"/>
        <w:sz w:val="16"/>
        <w:szCs w:val="16"/>
      </w:rPr>
      <w:t xml:space="preserve"> | </w:t>
    </w:r>
    <w:r w:rsidR="00AC2965">
      <w:rPr>
        <w:i/>
        <w:noProof/>
        <w:spacing w:val="10"/>
        <w:sz w:val="16"/>
        <w:szCs w:val="16"/>
      </w:rPr>
      <w:t>RSC</w:t>
    </w:r>
    <w:r w:rsidR="00AC2965" w:rsidRPr="006602F1">
      <w:rPr>
        <w:i/>
        <w:noProof/>
        <w:spacing w:val="10"/>
        <w:sz w:val="16"/>
        <w:szCs w:val="16"/>
      </w:rPr>
      <w:t xml:space="preserve"> </w:t>
    </w:r>
    <w:r w:rsidR="00AC2965">
      <w:rPr>
        <w:i/>
        <w:noProof/>
        <w:spacing w:val="10"/>
        <w:sz w:val="16"/>
        <w:szCs w:val="16"/>
      </w:rPr>
      <w:t>Adv</w:t>
    </w:r>
    <w:r w:rsidR="00AC2965" w:rsidRPr="006602F1">
      <w:rPr>
        <w:noProof/>
        <w:spacing w:val="10"/>
        <w:sz w:val="16"/>
        <w:szCs w:val="16"/>
      </w:rPr>
      <w:t>., 201</w:t>
    </w:r>
    <w:r w:rsidR="00AC2965">
      <w:rPr>
        <w:noProof/>
        <w:spacing w:val="10"/>
        <w:sz w:val="16"/>
        <w:szCs w:val="16"/>
      </w:rPr>
      <w:t>5</w:t>
    </w:r>
    <w:r w:rsidR="00AC2965" w:rsidRPr="006602F1">
      <w:rPr>
        <w:noProof/>
        <w:spacing w:val="10"/>
        <w:sz w:val="16"/>
        <w:szCs w:val="16"/>
      </w:rPr>
      <w:t xml:space="preserve">, </w:t>
    </w:r>
    <w:r w:rsidR="00AC2965" w:rsidRPr="006602F1">
      <w:rPr>
        <w:b/>
        <w:noProof/>
        <w:spacing w:val="10"/>
        <w:sz w:val="16"/>
        <w:szCs w:val="16"/>
      </w:rPr>
      <w:t>00</w:t>
    </w:r>
    <w:r w:rsidR="00AC2965" w:rsidRPr="006602F1">
      <w:rPr>
        <w:noProof/>
        <w:spacing w:val="10"/>
        <w:sz w:val="16"/>
        <w:szCs w:val="16"/>
      </w:rPr>
      <w:t>, 1-3</w:t>
    </w:r>
    <w:r w:rsidR="00AC2965" w:rsidRPr="006602F1">
      <w:rPr>
        <w:noProof/>
        <w:spacing w:val="10"/>
        <w:sz w:val="16"/>
        <w:szCs w:val="16"/>
      </w:rPr>
      <w:tab/>
    </w:r>
    <w:r w:rsidR="00AC2965" w:rsidRPr="00AC3BF2">
      <w:rPr>
        <w:noProof/>
        <w:spacing w:val="2"/>
        <w:sz w:val="16"/>
        <w:szCs w:val="16"/>
      </w:rPr>
      <w:t xml:space="preserve">This journal is </w:t>
    </w:r>
    <w:r w:rsidR="00AC2965" w:rsidRPr="00AC3BF2">
      <w:rPr>
        <w:rFonts w:cstheme="minorHAnsi"/>
        <w:noProof/>
        <w:spacing w:val="2"/>
        <w:sz w:val="16"/>
        <w:szCs w:val="16"/>
      </w:rPr>
      <w:t>©</w:t>
    </w:r>
    <w:r w:rsidR="00AC2965" w:rsidRPr="00AC3BF2">
      <w:rPr>
        <w:noProof/>
        <w:spacing w:val="2"/>
        <w:sz w:val="16"/>
        <w:szCs w:val="16"/>
      </w:rPr>
      <w:t xml:space="preserve"> The Royal Society of Chemistry 20</w:t>
    </w:r>
    <w:r w:rsidR="00AC2965">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965" w:rsidRPr="006602F1" w:rsidRDefault="00AC2965" w:rsidP="00D45ADF">
    <w:pPr>
      <w:pStyle w:val="Piedepgina"/>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RSC</w:t>
    </w:r>
    <w:r w:rsidRPr="006602F1">
      <w:rPr>
        <w:i/>
        <w:noProof/>
        <w:spacing w:val="10"/>
        <w:sz w:val="16"/>
        <w:szCs w:val="16"/>
      </w:rPr>
      <w:t xml:space="preserve"> </w:t>
    </w:r>
    <w:r>
      <w:rPr>
        <w:i/>
        <w:noProof/>
        <w:spacing w:val="10"/>
        <w:sz w:val="16"/>
        <w:szCs w:val="16"/>
      </w:rPr>
      <w:t>Adv</w:t>
    </w:r>
    <w:r w:rsidRPr="006602F1">
      <w:rPr>
        <w:noProof/>
        <w:spacing w:val="10"/>
        <w:sz w:val="16"/>
        <w:szCs w:val="16"/>
      </w:rPr>
      <w:t>., 201</w:t>
    </w:r>
    <w:r>
      <w:rPr>
        <w:noProof/>
        <w:spacing w:val="10"/>
        <w:sz w:val="16"/>
        <w:szCs w:val="16"/>
      </w:rPr>
      <w:t>5</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00C054FE" w:rsidRPr="008C1387">
      <w:rPr>
        <w:b/>
        <w:spacing w:val="10"/>
        <w:sz w:val="16"/>
        <w:szCs w:val="16"/>
      </w:rPr>
      <w:fldChar w:fldCharType="begin"/>
    </w:r>
    <w:r w:rsidRPr="008C1387">
      <w:rPr>
        <w:b/>
        <w:spacing w:val="10"/>
        <w:sz w:val="16"/>
        <w:szCs w:val="16"/>
      </w:rPr>
      <w:instrText xml:space="preserve"> PAGE   \* MERGEFORMAT </w:instrText>
    </w:r>
    <w:r w:rsidR="00C054FE" w:rsidRPr="008C1387">
      <w:rPr>
        <w:b/>
        <w:spacing w:val="10"/>
        <w:sz w:val="16"/>
        <w:szCs w:val="16"/>
      </w:rPr>
      <w:fldChar w:fldCharType="separate"/>
    </w:r>
    <w:r w:rsidR="00433802">
      <w:rPr>
        <w:b/>
        <w:noProof/>
        <w:spacing w:val="10"/>
        <w:sz w:val="16"/>
        <w:szCs w:val="16"/>
      </w:rPr>
      <w:t>7</w:t>
    </w:r>
    <w:r w:rsidR="00C054FE"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965" w:rsidRPr="006602F1" w:rsidRDefault="00433802" w:rsidP="00D45ADF">
    <w:pPr>
      <w:pStyle w:val="Piedepgina"/>
      <w:tabs>
        <w:tab w:val="clear" w:pos="4513"/>
        <w:tab w:val="clear" w:pos="9026"/>
        <w:tab w:val="right" w:pos="10206"/>
      </w:tabs>
      <w:spacing w:before="480"/>
      <w:rPr>
        <w:sz w:val="16"/>
        <w:szCs w:val="16"/>
      </w:rPr>
    </w:pPr>
    <w:r>
      <w:rPr>
        <w:noProof/>
        <w:lang w:val="es-ES" w:eastAsia="es-ES"/>
      </w:rPr>
      <mc:AlternateContent>
        <mc:Choice Requires="wps">
          <w:drawing>
            <wp:anchor distT="0" distB="0" distL="114300" distR="114300" simplePos="0" relativeHeight="251664384" behindDoc="0" locked="0" layoutInCell="1" allowOverlap="1">
              <wp:simplePos x="0" y="0"/>
              <wp:positionH relativeFrom="column">
                <wp:align>center</wp:align>
              </wp:positionH>
              <wp:positionV relativeFrom="page">
                <wp:align>bottom</wp:align>
              </wp:positionV>
              <wp:extent cx="7700645" cy="39624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AC2965" w:rsidRPr="00F20A7C" w:rsidRDefault="00AC2965"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" fillcolor="#a5a5a5 [2092]" stroked="f">
              <v:textbox>
                <w:txbxContent>
                  <w:p w:rsidR="00AC2965" w:rsidRPr="00F20A7C" w:rsidRDefault="00AC2965"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AC2965" w:rsidRPr="002C0803">
      <w:rPr>
        <w:noProof/>
        <w:spacing w:val="2"/>
        <w:sz w:val="16"/>
        <w:szCs w:val="16"/>
      </w:rPr>
      <w:t xml:space="preserve">This journal is </w:t>
    </w:r>
    <w:r w:rsidR="00AC2965" w:rsidRPr="002C0803">
      <w:rPr>
        <w:rFonts w:cstheme="minorHAnsi"/>
        <w:noProof/>
        <w:spacing w:val="2"/>
        <w:sz w:val="16"/>
        <w:szCs w:val="16"/>
      </w:rPr>
      <w:t>©</w:t>
    </w:r>
    <w:r w:rsidR="00AC2965" w:rsidRPr="002C0803">
      <w:rPr>
        <w:noProof/>
        <w:spacing w:val="2"/>
        <w:sz w:val="16"/>
        <w:szCs w:val="16"/>
      </w:rPr>
      <w:t xml:space="preserve"> The</w:t>
    </w:r>
    <w:r w:rsidR="00AC2965">
      <w:rPr>
        <w:noProof/>
        <w:spacing w:val="2"/>
        <w:sz w:val="16"/>
        <w:szCs w:val="16"/>
      </w:rPr>
      <w:t xml:space="preserve"> Royal Society of Chemistry 20xx</w:t>
    </w:r>
    <w:r w:rsidR="00AC2965" w:rsidRPr="006602F1">
      <w:rPr>
        <w:i/>
        <w:noProof/>
        <w:sz w:val="16"/>
        <w:szCs w:val="16"/>
      </w:rPr>
      <w:tab/>
    </w:r>
    <w:r w:rsidR="00AC2965">
      <w:rPr>
        <w:i/>
        <w:noProof/>
        <w:spacing w:val="10"/>
        <w:sz w:val="16"/>
        <w:szCs w:val="16"/>
      </w:rPr>
      <w:t>RSC</w:t>
    </w:r>
    <w:r w:rsidR="00AC2965" w:rsidRPr="002C0803">
      <w:rPr>
        <w:i/>
        <w:noProof/>
        <w:spacing w:val="10"/>
        <w:sz w:val="16"/>
        <w:szCs w:val="16"/>
      </w:rPr>
      <w:t xml:space="preserve"> </w:t>
    </w:r>
    <w:r w:rsidR="00AC2965">
      <w:rPr>
        <w:i/>
        <w:noProof/>
        <w:spacing w:val="10"/>
        <w:sz w:val="16"/>
        <w:szCs w:val="16"/>
      </w:rPr>
      <w:t>Adv.</w:t>
    </w:r>
    <w:r w:rsidR="00AC2965" w:rsidRPr="002C0803">
      <w:rPr>
        <w:noProof/>
        <w:spacing w:val="10"/>
        <w:sz w:val="16"/>
        <w:szCs w:val="16"/>
      </w:rPr>
      <w:t>, 201</w:t>
    </w:r>
    <w:r w:rsidR="00AC2965">
      <w:rPr>
        <w:noProof/>
        <w:spacing w:val="10"/>
        <w:sz w:val="16"/>
        <w:szCs w:val="16"/>
      </w:rPr>
      <w:t>5</w:t>
    </w:r>
    <w:r w:rsidR="00AC2965" w:rsidRPr="002C0803">
      <w:rPr>
        <w:noProof/>
        <w:spacing w:val="10"/>
        <w:sz w:val="16"/>
        <w:szCs w:val="16"/>
      </w:rPr>
      <w:t xml:space="preserve">, </w:t>
    </w:r>
    <w:r w:rsidR="00AC2965" w:rsidRPr="002C0803">
      <w:rPr>
        <w:b/>
        <w:noProof/>
        <w:spacing w:val="10"/>
        <w:sz w:val="16"/>
        <w:szCs w:val="16"/>
      </w:rPr>
      <w:t>00</w:t>
    </w:r>
    <w:r w:rsidR="00AC2965" w:rsidRPr="002C0803">
      <w:rPr>
        <w:noProof/>
        <w:spacing w:val="10"/>
        <w:sz w:val="16"/>
        <w:szCs w:val="16"/>
      </w:rPr>
      <w:t>, 1-3</w:t>
    </w:r>
    <w:r w:rsidR="00AC2965" w:rsidRPr="002C0803">
      <w:rPr>
        <w:spacing w:val="10"/>
        <w:sz w:val="16"/>
        <w:szCs w:val="16"/>
      </w:rPr>
      <w:t xml:space="preserve"> | </w:t>
    </w:r>
    <w:r w:rsidR="00C054FE" w:rsidRPr="008C1387">
      <w:rPr>
        <w:b/>
        <w:spacing w:val="10"/>
        <w:sz w:val="16"/>
        <w:szCs w:val="16"/>
      </w:rPr>
      <w:fldChar w:fldCharType="begin"/>
    </w:r>
    <w:r w:rsidR="00AC2965" w:rsidRPr="008C1387">
      <w:rPr>
        <w:b/>
        <w:spacing w:val="10"/>
        <w:sz w:val="16"/>
        <w:szCs w:val="16"/>
      </w:rPr>
      <w:instrText xml:space="preserve"> PAGE   \* MERGEFORMAT </w:instrText>
    </w:r>
    <w:r w:rsidR="00C054FE" w:rsidRPr="008C1387">
      <w:rPr>
        <w:b/>
        <w:spacing w:val="10"/>
        <w:sz w:val="16"/>
        <w:szCs w:val="16"/>
      </w:rPr>
      <w:fldChar w:fldCharType="separate"/>
    </w:r>
    <w:r>
      <w:rPr>
        <w:b/>
        <w:noProof/>
        <w:spacing w:val="10"/>
        <w:sz w:val="16"/>
        <w:szCs w:val="16"/>
      </w:rPr>
      <w:t>1</w:t>
    </w:r>
    <w:r w:rsidR="00C054FE" w:rsidRPr="008C1387">
      <w:rPr>
        <w:b/>
        <w:noProof/>
        <w:spacing w:val="10"/>
        <w:sz w:val="16"/>
        <w:szCs w:val="16"/>
      </w:rPr>
      <w:fldChar w:fldCharType="end"/>
    </w:r>
    <w:r w:rsidR="00AC2965"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491" w:rsidRDefault="00CC6491" w:rsidP="00E547DB">
      <w:pPr>
        <w:spacing w:after="0" w:line="240" w:lineRule="auto"/>
      </w:pPr>
      <w:r>
        <w:separator/>
      </w:r>
    </w:p>
    <w:p w:rsidR="00CC6491" w:rsidRDefault="00CC6491"/>
    <w:p w:rsidR="00CC6491" w:rsidRDefault="00CC6491"/>
    <w:p w:rsidR="00CC6491" w:rsidRDefault="00CC6491"/>
    <w:p w:rsidR="00CC6491" w:rsidRDefault="00CC6491"/>
    <w:p w:rsidR="00CC6491" w:rsidRDefault="00CC6491"/>
  </w:footnote>
  <w:footnote w:type="continuationSeparator" w:id="0">
    <w:p w:rsidR="00CC6491" w:rsidRDefault="00CC6491" w:rsidP="00E547DB">
      <w:pPr>
        <w:spacing w:after="0" w:line="240" w:lineRule="auto"/>
      </w:pPr>
      <w:r>
        <w:continuationSeparator/>
      </w:r>
    </w:p>
    <w:p w:rsidR="00CC6491" w:rsidRDefault="00CC6491"/>
    <w:p w:rsidR="00CC6491" w:rsidRDefault="00CC6491"/>
    <w:p w:rsidR="00CC6491" w:rsidRDefault="00CC6491"/>
    <w:p w:rsidR="00CC6491" w:rsidRDefault="00CC6491"/>
    <w:p w:rsidR="00CC6491" w:rsidRDefault="00CC649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965" w:rsidRPr="00E70DCE" w:rsidRDefault="00433802" w:rsidP="00D45ADF">
    <w:pPr>
      <w:pStyle w:val="Encabezado"/>
      <w:tabs>
        <w:tab w:val="clear" w:pos="4513"/>
        <w:tab w:val="clear" w:pos="9026"/>
        <w:tab w:val="right" w:pos="10206"/>
      </w:tabs>
      <w:spacing w:after="240"/>
      <w:rPr>
        <w:rFonts w:cstheme="minorHAnsi"/>
        <w:color w:val="999999"/>
        <w:sz w:val="20"/>
        <w:szCs w:val="20"/>
      </w:rPr>
    </w:pPr>
    <w:r>
      <w:rPr>
        <w:noProof/>
        <w:lang w:val="es-ES" w:eastAsia="es-ES"/>
      </w:rPr>
      <mc:AlternateContent>
        <mc:Choice Requires="wps">
          <w:drawing>
            <wp:anchor distT="0" distB="0" distL="114300" distR="114300" simplePos="0" relativeHeight="251668480" behindDoc="0" locked="0" layoutInCell="1" allowOverlap="1">
              <wp:simplePos x="0" y="0"/>
              <wp:positionH relativeFrom="column">
                <wp:align>center</wp:align>
              </wp:positionH>
              <wp:positionV relativeFrom="page">
                <wp:align>bottom</wp:align>
              </wp:positionV>
              <wp:extent cx="7700645" cy="396240"/>
              <wp:effectExtent l="0" t="0" r="0" b="38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AC2965" w:rsidRPr="00F20A7C" w:rsidRDefault="00AC296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" fillcolor="#a5a5a5 [2092]" stroked="f">
              <v:textbox>
                <w:txbxContent>
                  <w:p w:rsidR="00AC2965" w:rsidRPr="00F20A7C" w:rsidRDefault="00AC296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s-ES" w:eastAsia="es-ES"/>
      </w:rPr>
      <mc:AlternateContent>
        <mc:Choice Requires="wps">
          <w:drawing>
            <wp:anchor distT="0" distB="0" distL="114300" distR="114300" simplePos="0" relativeHeight="251666432" behindDoc="0" locked="0" layoutInCell="1" allowOverlap="1">
              <wp:simplePos x="0" y="0"/>
              <wp:positionH relativeFrom="column">
                <wp:align>center</wp:align>
              </wp:positionH>
              <wp:positionV relativeFrom="page">
                <wp:align>top</wp:align>
              </wp:positionV>
              <wp:extent cx="7700645" cy="396240"/>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AC2965" w:rsidRPr="00F20A7C" w:rsidRDefault="00AC296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" fillcolor="#a5a5a5 [2092]" stroked="f">
              <v:textbox>
                <w:txbxContent>
                  <w:p w:rsidR="00AC2965" w:rsidRPr="00F20A7C" w:rsidRDefault="00AC296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AC2965">
      <w:rPr>
        <w:rFonts w:cstheme="minorHAnsi"/>
        <w:b/>
        <w:color w:val="999999"/>
        <w:sz w:val="20"/>
        <w:szCs w:val="20"/>
      </w:rPr>
      <w:t>ARTICLE</w:t>
    </w:r>
    <w:r w:rsidR="00AC2965" w:rsidRPr="00E70DCE">
      <w:rPr>
        <w:rFonts w:cstheme="minorHAnsi"/>
        <w:color w:val="999999"/>
        <w:sz w:val="20"/>
        <w:szCs w:val="20"/>
      </w:rPr>
      <w:tab/>
    </w:r>
    <w:r w:rsidR="00AC2965">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965" w:rsidRPr="009316A6" w:rsidRDefault="00433802" w:rsidP="00D45ADF">
    <w:pPr>
      <w:pStyle w:val="Encabezado"/>
      <w:tabs>
        <w:tab w:val="clear" w:pos="4513"/>
        <w:tab w:val="clear" w:pos="9026"/>
        <w:tab w:val="right" w:pos="10206"/>
      </w:tabs>
      <w:spacing w:after="240"/>
      <w:rPr>
        <w:rFonts w:cstheme="minorHAnsi"/>
        <w:b/>
        <w:color w:val="999999"/>
        <w:sz w:val="20"/>
        <w:szCs w:val="20"/>
      </w:rPr>
    </w:pPr>
    <w:r>
      <w:rPr>
        <w:noProof/>
        <w:lang w:val="es-ES" w:eastAsia="es-ES"/>
      </w:rPr>
      <mc:AlternateContent>
        <mc:Choice Requires="wps">
          <w:drawing>
            <wp:anchor distT="0" distB="0" distL="114300" distR="114300" simplePos="0" relativeHeight="251672576" behindDoc="0" locked="0" layoutInCell="1" allowOverlap="1">
              <wp:simplePos x="0" y="0"/>
              <wp:positionH relativeFrom="column">
                <wp:align>center</wp:align>
              </wp:positionH>
              <wp:positionV relativeFrom="page">
                <wp:align>bottom</wp:align>
              </wp:positionV>
              <wp:extent cx="7700645" cy="399415"/>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rsidR="00AC2965" w:rsidRPr="00F20A7C" w:rsidRDefault="00AC296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" fillcolor="#a5a5a5 [2092]" stroked="f">
              <v:textbox>
                <w:txbxContent>
                  <w:p w:rsidR="00AC2965" w:rsidRPr="00F20A7C" w:rsidRDefault="00AC296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AC2965">
      <w:rPr>
        <w:rFonts w:cstheme="minorHAnsi"/>
        <w:b/>
        <w:color w:val="999999"/>
        <w:sz w:val="20"/>
        <w:szCs w:val="20"/>
      </w:rPr>
      <w:t>Journal Name</w:t>
    </w:r>
    <w:r>
      <w:rPr>
        <w:noProof/>
        <w:lang w:val="es-ES" w:eastAsia="es-ES"/>
      </w:rPr>
      <mc:AlternateContent>
        <mc:Choice Requires="wps">
          <w:drawing>
            <wp:anchor distT="0" distB="0" distL="114300" distR="114300" simplePos="0" relativeHeight="251670528" behindDoc="0" locked="0" layoutInCell="1" allowOverlap="1">
              <wp:simplePos x="0" y="0"/>
              <wp:positionH relativeFrom="column">
                <wp:align>center</wp:align>
              </wp:positionH>
              <wp:positionV relativeFrom="page">
                <wp:align>top</wp:align>
              </wp:positionV>
              <wp:extent cx="7700645" cy="42481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424815"/>
                      </a:xfrm>
                      <a:prstGeom prst="rect">
                        <a:avLst/>
                      </a:prstGeom>
                      <a:solidFill>
                        <a:schemeClr val="bg1">
                          <a:lumMod val="65000"/>
                        </a:schemeClr>
                      </a:solidFill>
                      <a:ln w="9525">
                        <a:noFill/>
                        <a:miter lim="800000"/>
                        <a:headEnd/>
                        <a:tailEnd/>
                      </a:ln>
                    </wps:spPr>
                    <wps:txbx>
                      <w:txbxContent>
                        <w:p w:rsidR="00AC2965" w:rsidRPr="00F20A7C" w:rsidRDefault="00AC296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" fillcolor="#a5a5a5 [2092]" stroked="f">
              <v:textbox>
                <w:txbxContent>
                  <w:p w:rsidR="00AC2965" w:rsidRPr="00F20A7C" w:rsidRDefault="00AC296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AC2965">
      <w:rPr>
        <w:rFonts w:cstheme="minorHAnsi"/>
        <w:b/>
        <w:color w:val="999999"/>
        <w:sz w:val="20"/>
        <w:szCs w:val="20"/>
      </w:rPr>
      <w:ptab w:relativeTo="margin" w:alignment="right" w:leader="none"/>
    </w:r>
    <w:r w:rsidR="00AC2965" w:rsidRPr="00E46BDF">
      <w:rPr>
        <w:rFonts w:cstheme="minorHAnsi"/>
        <w:b/>
        <w:color w:val="999999"/>
        <w:sz w:val="20"/>
        <w:szCs w:val="20"/>
      </w:rPr>
      <w:t xml:space="preserve"> </w:t>
    </w:r>
    <w:r w:rsidR="00AC2965">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965" w:rsidRDefault="00433802" w:rsidP="00180ABE">
    <w:pPr>
      <w:pStyle w:val="Encabezado"/>
      <w:shd w:val="clear" w:color="auto" w:fill="FFFFFF" w:themeFill="background1"/>
      <w:tabs>
        <w:tab w:val="clear" w:pos="4513"/>
        <w:tab w:val="clear" w:pos="9026"/>
        <w:tab w:val="right" w:pos="10205"/>
      </w:tabs>
      <w:spacing w:after="240"/>
      <w:rPr>
        <w:b/>
        <w:sz w:val="32"/>
        <w:szCs w:val="32"/>
      </w:rPr>
    </w:pPr>
    <w:r>
      <w:rPr>
        <w:noProof/>
        <w:lang w:val="es-ES" w:eastAsia="es-ES"/>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ge">
                <wp:align>top</wp:align>
              </wp:positionV>
              <wp:extent cx="7700645" cy="399415"/>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rsidR="00AC2965" w:rsidRPr="00F20A7C" w:rsidRDefault="00AC2965"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" fillcolor="#a5a5a5 [2092]" stroked="f">
              <v:textbox>
                <w:txbxContent>
                  <w:p w:rsidR="00AC2965" w:rsidRPr="00F20A7C" w:rsidRDefault="00AC2965"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AC2965">
      <w:rPr>
        <w:b/>
        <w:sz w:val="32"/>
        <w:szCs w:val="32"/>
      </w:rPr>
      <w:t>RSC Advances</w:t>
    </w:r>
    <w:r w:rsidR="00AC2965">
      <w:rPr>
        <w:b/>
        <w:sz w:val="32"/>
        <w:szCs w:val="32"/>
      </w:rPr>
      <w:tab/>
    </w:r>
    <w:r w:rsidR="00AC2965">
      <w:rPr>
        <w:b/>
        <w:noProof/>
        <w:sz w:val="32"/>
        <w:szCs w:val="32"/>
        <w:lang w:val="es-ES" w:eastAsia="es-ES"/>
      </w:rPr>
      <w:drawing>
        <wp:inline distT="0" distB="0" distL="0" distR="0">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AC2965" w:rsidRPr="00180ABE" w:rsidRDefault="00AC2965" w:rsidP="00180ABE">
    <w:pPr>
      <w:pStyle w:val="Encabezado"/>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embedTrueTypeFonts/>
  <w:attachedTemplate r:id="rId1"/>
  <w:stylePaneSortMethod w:val="0000"/>
  <w:defaultTabStop w:val="28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DAB"/>
    <w:rsid w:val="000007D9"/>
    <w:rsid w:val="000040EB"/>
    <w:rsid w:val="00005B8A"/>
    <w:rsid w:val="000131B1"/>
    <w:rsid w:val="00014A92"/>
    <w:rsid w:val="00022D8A"/>
    <w:rsid w:val="0003247D"/>
    <w:rsid w:val="00036DB3"/>
    <w:rsid w:val="00037C5F"/>
    <w:rsid w:val="000622D1"/>
    <w:rsid w:val="00071E41"/>
    <w:rsid w:val="00073639"/>
    <w:rsid w:val="00081248"/>
    <w:rsid w:val="000821D5"/>
    <w:rsid w:val="00091C8F"/>
    <w:rsid w:val="000A2670"/>
    <w:rsid w:val="000C0A9D"/>
    <w:rsid w:val="000C5DC2"/>
    <w:rsid w:val="000D02CB"/>
    <w:rsid w:val="000D2FAC"/>
    <w:rsid w:val="000D5891"/>
    <w:rsid w:val="000D6963"/>
    <w:rsid w:val="000E7A32"/>
    <w:rsid w:val="000F06AD"/>
    <w:rsid w:val="000F0959"/>
    <w:rsid w:val="000F1081"/>
    <w:rsid w:val="000F3A41"/>
    <w:rsid w:val="00115DBF"/>
    <w:rsid w:val="00120227"/>
    <w:rsid w:val="001215CA"/>
    <w:rsid w:val="00124BEA"/>
    <w:rsid w:val="00126027"/>
    <w:rsid w:val="00142C5D"/>
    <w:rsid w:val="00143D56"/>
    <w:rsid w:val="00147B98"/>
    <w:rsid w:val="001508E9"/>
    <w:rsid w:val="0015331C"/>
    <w:rsid w:val="00155C68"/>
    <w:rsid w:val="001633D9"/>
    <w:rsid w:val="00166176"/>
    <w:rsid w:val="00170EB5"/>
    <w:rsid w:val="00180ABE"/>
    <w:rsid w:val="00185858"/>
    <w:rsid w:val="0019215D"/>
    <w:rsid w:val="001923AB"/>
    <w:rsid w:val="001A7808"/>
    <w:rsid w:val="001C1EB8"/>
    <w:rsid w:val="001C209E"/>
    <w:rsid w:val="001C7E1B"/>
    <w:rsid w:val="001D2EC8"/>
    <w:rsid w:val="002005D1"/>
    <w:rsid w:val="00206A82"/>
    <w:rsid w:val="00214BEC"/>
    <w:rsid w:val="00237C8A"/>
    <w:rsid w:val="00241ACD"/>
    <w:rsid w:val="00251668"/>
    <w:rsid w:val="00253551"/>
    <w:rsid w:val="00270DD5"/>
    <w:rsid w:val="00270FC8"/>
    <w:rsid w:val="00271235"/>
    <w:rsid w:val="00272D6F"/>
    <w:rsid w:val="0027503C"/>
    <w:rsid w:val="002775B9"/>
    <w:rsid w:val="00281B10"/>
    <w:rsid w:val="002A3AD5"/>
    <w:rsid w:val="002A5421"/>
    <w:rsid w:val="002A6B82"/>
    <w:rsid w:val="002B43AA"/>
    <w:rsid w:val="002C0803"/>
    <w:rsid w:val="002C251C"/>
    <w:rsid w:val="002C3D7C"/>
    <w:rsid w:val="002C3DBD"/>
    <w:rsid w:val="002C59BA"/>
    <w:rsid w:val="002E5B1D"/>
    <w:rsid w:val="002F372D"/>
    <w:rsid w:val="002F52C3"/>
    <w:rsid w:val="002F7D8C"/>
    <w:rsid w:val="00305A0A"/>
    <w:rsid w:val="0031727D"/>
    <w:rsid w:val="00317A11"/>
    <w:rsid w:val="00333336"/>
    <w:rsid w:val="003374D1"/>
    <w:rsid w:val="00337800"/>
    <w:rsid w:val="00352AA4"/>
    <w:rsid w:val="00353BBC"/>
    <w:rsid w:val="00354579"/>
    <w:rsid w:val="00356F00"/>
    <w:rsid w:val="003620FF"/>
    <w:rsid w:val="0036231C"/>
    <w:rsid w:val="00375EF9"/>
    <w:rsid w:val="00377481"/>
    <w:rsid w:val="00385965"/>
    <w:rsid w:val="00395315"/>
    <w:rsid w:val="00396AD3"/>
    <w:rsid w:val="003A7E95"/>
    <w:rsid w:val="003B739C"/>
    <w:rsid w:val="003C6313"/>
    <w:rsid w:val="003D4ECA"/>
    <w:rsid w:val="003D5C35"/>
    <w:rsid w:val="003D6715"/>
    <w:rsid w:val="003E1F25"/>
    <w:rsid w:val="003E55B2"/>
    <w:rsid w:val="00413DAB"/>
    <w:rsid w:val="0043180D"/>
    <w:rsid w:val="00433802"/>
    <w:rsid w:val="004414A5"/>
    <w:rsid w:val="0044700B"/>
    <w:rsid w:val="00467C80"/>
    <w:rsid w:val="004733DB"/>
    <w:rsid w:val="00474052"/>
    <w:rsid w:val="00476AF0"/>
    <w:rsid w:val="004877C8"/>
    <w:rsid w:val="004901D3"/>
    <w:rsid w:val="004B5EA4"/>
    <w:rsid w:val="004C531E"/>
    <w:rsid w:val="004C6C90"/>
    <w:rsid w:val="004F1ABD"/>
    <w:rsid w:val="00500B5E"/>
    <w:rsid w:val="0050214A"/>
    <w:rsid w:val="005037CD"/>
    <w:rsid w:val="00504795"/>
    <w:rsid w:val="00505671"/>
    <w:rsid w:val="0051026F"/>
    <w:rsid w:val="00514CBA"/>
    <w:rsid w:val="0052630A"/>
    <w:rsid w:val="0053177A"/>
    <w:rsid w:val="00533EA1"/>
    <w:rsid w:val="005370B9"/>
    <w:rsid w:val="00541615"/>
    <w:rsid w:val="00541B57"/>
    <w:rsid w:val="0055097C"/>
    <w:rsid w:val="005577E9"/>
    <w:rsid w:val="00564DEF"/>
    <w:rsid w:val="005771C3"/>
    <w:rsid w:val="00577B54"/>
    <w:rsid w:val="00581C59"/>
    <w:rsid w:val="00590F6D"/>
    <w:rsid w:val="005A5A6D"/>
    <w:rsid w:val="005A5ED7"/>
    <w:rsid w:val="005B5D73"/>
    <w:rsid w:val="005C0267"/>
    <w:rsid w:val="005C1A41"/>
    <w:rsid w:val="005C4565"/>
    <w:rsid w:val="005E05CD"/>
    <w:rsid w:val="005E69EC"/>
    <w:rsid w:val="005F4454"/>
    <w:rsid w:val="005F65A2"/>
    <w:rsid w:val="005F7DD5"/>
    <w:rsid w:val="00607930"/>
    <w:rsid w:val="006132C9"/>
    <w:rsid w:val="00613A9F"/>
    <w:rsid w:val="0061572F"/>
    <w:rsid w:val="0062460F"/>
    <w:rsid w:val="00624D8C"/>
    <w:rsid w:val="00625724"/>
    <w:rsid w:val="006405AC"/>
    <w:rsid w:val="00641030"/>
    <w:rsid w:val="00641158"/>
    <w:rsid w:val="00645D52"/>
    <w:rsid w:val="0065133B"/>
    <w:rsid w:val="006556AC"/>
    <w:rsid w:val="006602F1"/>
    <w:rsid w:val="00661EDF"/>
    <w:rsid w:val="00670ED4"/>
    <w:rsid w:val="00672928"/>
    <w:rsid w:val="00674A86"/>
    <w:rsid w:val="00687B5F"/>
    <w:rsid w:val="006916EE"/>
    <w:rsid w:val="0069291C"/>
    <w:rsid w:val="006A69C8"/>
    <w:rsid w:val="006A7553"/>
    <w:rsid w:val="006A7CF0"/>
    <w:rsid w:val="006B773F"/>
    <w:rsid w:val="006D6163"/>
    <w:rsid w:val="006E58B1"/>
    <w:rsid w:val="006F01C4"/>
    <w:rsid w:val="006F487B"/>
    <w:rsid w:val="006F740B"/>
    <w:rsid w:val="007260F1"/>
    <w:rsid w:val="007339CF"/>
    <w:rsid w:val="007434A2"/>
    <w:rsid w:val="00744A41"/>
    <w:rsid w:val="00780A41"/>
    <w:rsid w:val="00794787"/>
    <w:rsid w:val="00794E70"/>
    <w:rsid w:val="007A058F"/>
    <w:rsid w:val="007A37D8"/>
    <w:rsid w:val="007A69D4"/>
    <w:rsid w:val="007C3D03"/>
    <w:rsid w:val="007D1EFA"/>
    <w:rsid w:val="007D5FE4"/>
    <w:rsid w:val="007D706A"/>
    <w:rsid w:val="007E7B2C"/>
    <w:rsid w:val="00801C5C"/>
    <w:rsid w:val="00813098"/>
    <w:rsid w:val="00817294"/>
    <w:rsid w:val="00817F9A"/>
    <w:rsid w:val="0082407A"/>
    <w:rsid w:val="008240F4"/>
    <w:rsid w:val="0082581F"/>
    <w:rsid w:val="00840845"/>
    <w:rsid w:val="008560DE"/>
    <w:rsid w:val="00856661"/>
    <w:rsid w:val="0088525A"/>
    <w:rsid w:val="008A0D60"/>
    <w:rsid w:val="008B534F"/>
    <w:rsid w:val="008B69DC"/>
    <w:rsid w:val="008C1387"/>
    <w:rsid w:val="008C62E7"/>
    <w:rsid w:val="008C682F"/>
    <w:rsid w:val="008D1010"/>
    <w:rsid w:val="008E509B"/>
    <w:rsid w:val="008F4811"/>
    <w:rsid w:val="008F525A"/>
    <w:rsid w:val="008F542A"/>
    <w:rsid w:val="008F76DD"/>
    <w:rsid w:val="008F7CEE"/>
    <w:rsid w:val="009026D4"/>
    <w:rsid w:val="0090618E"/>
    <w:rsid w:val="00911F26"/>
    <w:rsid w:val="009170D5"/>
    <w:rsid w:val="009235DC"/>
    <w:rsid w:val="0092763E"/>
    <w:rsid w:val="009316A6"/>
    <w:rsid w:val="00936114"/>
    <w:rsid w:val="009400E9"/>
    <w:rsid w:val="00946830"/>
    <w:rsid w:val="00955E84"/>
    <w:rsid w:val="00955FD0"/>
    <w:rsid w:val="00957913"/>
    <w:rsid w:val="00960877"/>
    <w:rsid w:val="00962779"/>
    <w:rsid w:val="009654EC"/>
    <w:rsid w:val="00973154"/>
    <w:rsid w:val="009918D9"/>
    <w:rsid w:val="00995D0E"/>
    <w:rsid w:val="009A392D"/>
    <w:rsid w:val="009C1C9B"/>
    <w:rsid w:val="009D17C3"/>
    <w:rsid w:val="009D47C2"/>
    <w:rsid w:val="009E0DAB"/>
    <w:rsid w:val="009E51F8"/>
    <w:rsid w:val="009F2649"/>
    <w:rsid w:val="009F3CDF"/>
    <w:rsid w:val="00A074D7"/>
    <w:rsid w:val="00A17D23"/>
    <w:rsid w:val="00A208E1"/>
    <w:rsid w:val="00A24EAA"/>
    <w:rsid w:val="00A35171"/>
    <w:rsid w:val="00A3582A"/>
    <w:rsid w:val="00A41AC4"/>
    <w:rsid w:val="00A521AB"/>
    <w:rsid w:val="00A548DA"/>
    <w:rsid w:val="00A56CD0"/>
    <w:rsid w:val="00A61D3E"/>
    <w:rsid w:val="00A7389C"/>
    <w:rsid w:val="00A7643E"/>
    <w:rsid w:val="00A77D63"/>
    <w:rsid w:val="00A93BAF"/>
    <w:rsid w:val="00A9649E"/>
    <w:rsid w:val="00AA1341"/>
    <w:rsid w:val="00AB16D0"/>
    <w:rsid w:val="00AB1B17"/>
    <w:rsid w:val="00AB2C1B"/>
    <w:rsid w:val="00AC2965"/>
    <w:rsid w:val="00AC30AE"/>
    <w:rsid w:val="00AC3BF2"/>
    <w:rsid w:val="00AD5483"/>
    <w:rsid w:val="00AE4A9B"/>
    <w:rsid w:val="00AF0249"/>
    <w:rsid w:val="00AF150F"/>
    <w:rsid w:val="00AF4737"/>
    <w:rsid w:val="00AF5A8B"/>
    <w:rsid w:val="00AF7B15"/>
    <w:rsid w:val="00B0470A"/>
    <w:rsid w:val="00B16565"/>
    <w:rsid w:val="00B2364D"/>
    <w:rsid w:val="00B30AF1"/>
    <w:rsid w:val="00B36FB4"/>
    <w:rsid w:val="00B53582"/>
    <w:rsid w:val="00B6239D"/>
    <w:rsid w:val="00B67630"/>
    <w:rsid w:val="00B70B18"/>
    <w:rsid w:val="00B722DE"/>
    <w:rsid w:val="00B80DDB"/>
    <w:rsid w:val="00B81EE1"/>
    <w:rsid w:val="00B9392D"/>
    <w:rsid w:val="00BA761E"/>
    <w:rsid w:val="00BB2711"/>
    <w:rsid w:val="00BB3FBE"/>
    <w:rsid w:val="00BC603D"/>
    <w:rsid w:val="00BD7A3B"/>
    <w:rsid w:val="00BE4162"/>
    <w:rsid w:val="00BF5D62"/>
    <w:rsid w:val="00C03CE1"/>
    <w:rsid w:val="00C04777"/>
    <w:rsid w:val="00C054FE"/>
    <w:rsid w:val="00C20715"/>
    <w:rsid w:val="00C3016F"/>
    <w:rsid w:val="00C31922"/>
    <w:rsid w:val="00C32EDF"/>
    <w:rsid w:val="00C347DA"/>
    <w:rsid w:val="00C36099"/>
    <w:rsid w:val="00C405FD"/>
    <w:rsid w:val="00C42573"/>
    <w:rsid w:val="00C5024A"/>
    <w:rsid w:val="00C513F9"/>
    <w:rsid w:val="00C53F63"/>
    <w:rsid w:val="00C57107"/>
    <w:rsid w:val="00C5798F"/>
    <w:rsid w:val="00C62C2D"/>
    <w:rsid w:val="00C67AF3"/>
    <w:rsid w:val="00C76C9C"/>
    <w:rsid w:val="00C829DA"/>
    <w:rsid w:val="00C9227C"/>
    <w:rsid w:val="00CA2740"/>
    <w:rsid w:val="00CB5338"/>
    <w:rsid w:val="00CC12E6"/>
    <w:rsid w:val="00CC2E25"/>
    <w:rsid w:val="00CC6491"/>
    <w:rsid w:val="00CC7C64"/>
    <w:rsid w:val="00CD0B47"/>
    <w:rsid w:val="00CE0B5C"/>
    <w:rsid w:val="00CE4872"/>
    <w:rsid w:val="00CF4368"/>
    <w:rsid w:val="00CF48C8"/>
    <w:rsid w:val="00CF5F1A"/>
    <w:rsid w:val="00D010E8"/>
    <w:rsid w:val="00D02C04"/>
    <w:rsid w:val="00D07EEF"/>
    <w:rsid w:val="00D138E8"/>
    <w:rsid w:val="00D20259"/>
    <w:rsid w:val="00D208BA"/>
    <w:rsid w:val="00D21668"/>
    <w:rsid w:val="00D216BC"/>
    <w:rsid w:val="00D24B0C"/>
    <w:rsid w:val="00D36630"/>
    <w:rsid w:val="00D3663B"/>
    <w:rsid w:val="00D42F8F"/>
    <w:rsid w:val="00D45ADF"/>
    <w:rsid w:val="00D505ED"/>
    <w:rsid w:val="00D551E0"/>
    <w:rsid w:val="00D56E5D"/>
    <w:rsid w:val="00D67331"/>
    <w:rsid w:val="00DA07F1"/>
    <w:rsid w:val="00DD06F4"/>
    <w:rsid w:val="00DD3100"/>
    <w:rsid w:val="00DD500F"/>
    <w:rsid w:val="00DF2A74"/>
    <w:rsid w:val="00DF3390"/>
    <w:rsid w:val="00DF33E5"/>
    <w:rsid w:val="00DF53E4"/>
    <w:rsid w:val="00DF6BF5"/>
    <w:rsid w:val="00DF704E"/>
    <w:rsid w:val="00DF7116"/>
    <w:rsid w:val="00E2136E"/>
    <w:rsid w:val="00E25AF8"/>
    <w:rsid w:val="00E27B1A"/>
    <w:rsid w:val="00E31A6A"/>
    <w:rsid w:val="00E46BDF"/>
    <w:rsid w:val="00E529CE"/>
    <w:rsid w:val="00E547DB"/>
    <w:rsid w:val="00E555BF"/>
    <w:rsid w:val="00E61949"/>
    <w:rsid w:val="00E6237F"/>
    <w:rsid w:val="00E70DCE"/>
    <w:rsid w:val="00E82DC0"/>
    <w:rsid w:val="00E83F88"/>
    <w:rsid w:val="00E91FDD"/>
    <w:rsid w:val="00EA446A"/>
    <w:rsid w:val="00EA490B"/>
    <w:rsid w:val="00EA7DC1"/>
    <w:rsid w:val="00EB5BA2"/>
    <w:rsid w:val="00EB5C28"/>
    <w:rsid w:val="00EE3AFB"/>
    <w:rsid w:val="00EF0D19"/>
    <w:rsid w:val="00EF1577"/>
    <w:rsid w:val="00EF6A74"/>
    <w:rsid w:val="00EF6BD4"/>
    <w:rsid w:val="00F051B0"/>
    <w:rsid w:val="00F157DD"/>
    <w:rsid w:val="00F15F90"/>
    <w:rsid w:val="00F21465"/>
    <w:rsid w:val="00F270FB"/>
    <w:rsid w:val="00F347F8"/>
    <w:rsid w:val="00F4699B"/>
    <w:rsid w:val="00F51E74"/>
    <w:rsid w:val="00F6065C"/>
    <w:rsid w:val="00F61EB1"/>
    <w:rsid w:val="00F62C8B"/>
    <w:rsid w:val="00F802D4"/>
    <w:rsid w:val="00F80C9C"/>
    <w:rsid w:val="00F83713"/>
    <w:rsid w:val="00F91982"/>
    <w:rsid w:val="00FA2DA2"/>
    <w:rsid w:val="00FA311A"/>
    <w:rsid w:val="00FB0259"/>
    <w:rsid w:val="00FB0ABD"/>
    <w:rsid w:val="00FC1AAD"/>
    <w:rsid w:val="00FC48F9"/>
    <w:rsid w:val="00FD419A"/>
    <w:rsid w:val="00FD68C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47DB"/>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E547DB"/>
  </w:style>
  <w:style w:type="paragraph" w:styleId="Piedepgina">
    <w:name w:val="footer"/>
    <w:basedOn w:val="Normal"/>
    <w:link w:val="PiedepginaCar"/>
    <w:uiPriority w:val="99"/>
    <w:unhideWhenUsed/>
    <w:rsid w:val="00E547DB"/>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E547DB"/>
  </w:style>
  <w:style w:type="paragraph" w:styleId="Textodeglobo">
    <w:name w:val="Balloon Text"/>
    <w:basedOn w:val="Normal"/>
    <w:link w:val="TextodegloboCar"/>
    <w:uiPriority w:val="99"/>
    <w:semiHidden/>
    <w:unhideWhenUsed/>
    <w:rsid w:val="00E547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aconcuadrcula">
    <w:name w:val="Table Grid"/>
    <w:basedOn w:val="Tabla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Fuentedeprrafopredeter"/>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Fuentedeprrafopredeter"/>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Fuentedeprrafopredeter"/>
    <w:link w:val="RSCF02FootnotestoTitleAuthors"/>
    <w:rsid w:val="006556AC"/>
    <w:rPr>
      <w:rFonts w:cs="Times New Roman"/>
      <w:w w:val="105"/>
      <w:sz w:val="14"/>
      <w:szCs w:val="14"/>
    </w:rPr>
  </w:style>
  <w:style w:type="paragraph" w:styleId="Sinespaciado">
    <w:name w:val="No Spacing"/>
    <w:uiPriority w:val="1"/>
    <w:rsid w:val="00272D6F"/>
    <w:pPr>
      <w:spacing w:after="0" w:line="240" w:lineRule="auto"/>
    </w:pPr>
  </w:style>
  <w:style w:type="character" w:customStyle="1" w:styleId="RSCR02ReferencesChar">
    <w:name w:val="RSC R02 References Char"/>
    <w:basedOn w:val="Fuentedeprrafopredeter"/>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Fuentedeprrafopredeter"/>
    <w:link w:val="RSCH01PaperTitle"/>
    <w:rsid w:val="00C32EDF"/>
    <w:rPr>
      <w:rFonts w:cs="Times New Roman"/>
      <w:b/>
      <w:sz w:val="29"/>
      <w:szCs w:val="32"/>
    </w:rPr>
  </w:style>
  <w:style w:type="character" w:customStyle="1" w:styleId="RSCH02PaperAuthorsandBylineChar">
    <w:name w:val="RSC H02 Paper Authors and Byline Char"/>
    <w:basedOn w:val="Fuentedeprrafopredeter"/>
    <w:link w:val="RSCH02PaperAuthorsandByline"/>
    <w:rsid w:val="001633D9"/>
    <w:rPr>
      <w:rFonts w:cs="Times New Roman"/>
      <w:sz w:val="20"/>
    </w:rPr>
  </w:style>
  <w:style w:type="character" w:customStyle="1" w:styleId="RSCB01ARTAbstractChar">
    <w:name w:val="RSC B01 ART Abstract Char"/>
    <w:basedOn w:val="Fuentedeprrafopredeter"/>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Fuentedeprrafopredeter"/>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Fuentedeprrafopredeter"/>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Fuentedeprrafopredeter"/>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Fuentedeprrafopredeter"/>
    <w:link w:val="RSCI03FigureSchemeChartUncaptioned"/>
    <w:rsid w:val="006556AC"/>
    <w:rPr>
      <w:rFonts w:cs="Times New Roman"/>
      <w:sz w:val="16"/>
      <w:szCs w:val="16"/>
    </w:rPr>
  </w:style>
  <w:style w:type="character" w:customStyle="1" w:styleId="RSCB03MathematicsGreeketcChar">
    <w:name w:val="RSC B03 Mathematics/Greek etc Char"/>
    <w:basedOn w:val="Fuentedeprrafopredeter"/>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Fuentedeprrafopredeter"/>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Fuentedeprrafopredeter"/>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Fuentedeprrafopredeter"/>
    <w:link w:val="RSCT04TableFootnotewithbottombar"/>
    <w:rsid w:val="006556AC"/>
    <w:rPr>
      <w:rFonts w:eastAsia="Times New Roman" w:cs="Times New Roman"/>
      <w:sz w:val="15"/>
      <w:szCs w:val="20"/>
      <w:lang w:eastAsia="en-GB"/>
    </w:rPr>
  </w:style>
  <w:style w:type="character" w:styleId="Hipervnculo">
    <w:name w:val="Hyperlink"/>
    <w:basedOn w:val="Fuentedeprrafopredeter"/>
    <w:uiPriority w:val="99"/>
    <w:unhideWhenUsed/>
    <w:rsid w:val="005037CD"/>
    <w:rPr>
      <w:color w:val="0000FF" w:themeColor="hyperlink"/>
      <w:u w:val="single"/>
    </w:rPr>
  </w:style>
  <w:style w:type="paragraph" w:styleId="Prrafodelista">
    <w:name w:val="List Paragraph"/>
    <w:basedOn w:val="Normal"/>
    <w:uiPriority w:val="34"/>
    <w:rsid w:val="00F15F90"/>
    <w:pPr>
      <w:ind w:left="720"/>
      <w:contextualSpacing/>
    </w:pPr>
  </w:style>
  <w:style w:type="paragraph" w:styleId="Revisin">
    <w:name w:val="Revision"/>
    <w:hidden/>
    <w:uiPriority w:val="99"/>
    <w:semiHidden/>
    <w:rsid w:val="000D5891"/>
    <w:pPr>
      <w:spacing w:after="0" w:line="240" w:lineRule="auto"/>
    </w:pPr>
  </w:style>
  <w:style w:type="paragraph" w:styleId="Textonotapie">
    <w:name w:val="footnote text"/>
    <w:basedOn w:val="Normal"/>
    <w:link w:val="TextonotapieCar"/>
    <w:uiPriority w:val="99"/>
    <w:semiHidden/>
    <w:unhideWhenUsed/>
    <w:rsid w:val="00CA274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A2740"/>
    <w:rPr>
      <w:sz w:val="20"/>
      <w:szCs w:val="20"/>
    </w:rPr>
  </w:style>
  <w:style w:type="character" w:styleId="Refdenotaalpie">
    <w:name w:val="footnote reference"/>
    <w:basedOn w:val="Fuentedeprrafopredeter"/>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pgrafe">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Fuentedeprrafopredeter"/>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Fuentedeprrafopredeter"/>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Fuentedeprrafopredeter"/>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Fuentedeprrafopredeter"/>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Fuentedeprrafopredeter"/>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Fuentedeprrafopredeter"/>
    <w:link w:val="RSCB07BHeadingSub-Section-standalone"/>
    <w:rsid w:val="00EF6BD4"/>
    <w:rPr>
      <w:b/>
      <w:sz w:val="18"/>
    </w:rPr>
  </w:style>
  <w:style w:type="character" w:customStyle="1" w:styleId="RSCB08CHeadingIn-lineChar">
    <w:name w:val="RSC B08 C Heading (In-line) Char"/>
    <w:basedOn w:val="Fuentedeprrafopredeter"/>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qFormat/>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customStyle="1" w:styleId="G1bFigureCaption">
    <w:name w:val="G1b Figure Caption"/>
    <w:basedOn w:val="Normal"/>
    <w:link w:val="G1bFigureCaptionChar"/>
    <w:qFormat/>
    <w:rsid w:val="00C67AF3"/>
    <w:pPr>
      <w:pBdr>
        <w:bottom w:val="single" w:sz="12" w:space="5" w:color="999999"/>
      </w:pBdr>
      <w:spacing w:before="40" w:after="120" w:line="180" w:lineRule="exact"/>
      <w:jc w:val="both"/>
    </w:pPr>
    <w:rPr>
      <w:rFonts w:cstheme="minorHAnsi"/>
      <w:w w:val="108"/>
      <w:sz w:val="14"/>
      <w:szCs w:val="14"/>
    </w:rPr>
  </w:style>
  <w:style w:type="character" w:customStyle="1" w:styleId="G1bFigureCaptionChar">
    <w:name w:val="G1b Figure Caption Char"/>
    <w:basedOn w:val="Fuentedeprrafopredeter"/>
    <w:link w:val="G1bFigureCaption"/>
    <w:rsid w:val="00C67AF3"/>
    <w:rPr>
      <w:rFonts w:cstheme="minorHAnsi"/>
      <w:w w:val="108"/>
      <w:sz w:val="14"/>
      <w:szCs w:val="14"/>
    </w:rPr>
  </w:style>
  <w:style w:type="character" w:styleId="Refdecomentario">
    <w:name w:val="annotation reference"/>
    <w:basedOn w:val="Fuentedeprrafopredeter"/>
    <w:uiPriority w:val="99"/>
    <w:semiHidden/>
    <w:unhideWhenUsed/>
    <w:rsid w:val="005F65A2"/>
    <w:rPr>
      <w:sz w:val="16"/>
      <w:szCs w:val="16"/>
    </w:rPr>
  </w:style>
  <w:style w:type="paragraph" w:styleId="Textocomentario">
    <w:name w:val="annotation text"/>
    <w:basedOn w:val="Normal"/>
    <w:link w:val="TextocomentarioCar"/>
    <w:uiPriority w:val="99"/>
    <w:semiHidden/>
    <w:unhideWhenUsed/>
    <w:rsid w:val="005F65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F65A2"/>
    <w:rPr>
      <w:sz w:val="20"/>
      <w:szCs w:val="20"/>
    </w:rPr>
  </w:style>
  <w:style w:type="paragraph" w:styleId="Asuntodelcomentario">
    <w:name w:val="annotation subject"/>
    <w:basedOn w:val="Textocomentario"/>
    <w:next w:val="Textocomentario"/>
    <w:link w:val="AsuntodelcomentarioCar"/>
    <w:uiPriority w:val="99"/>
    <w:semiHidden/>
    <w:unhideWhenUsed/>
    <w:rsid w:val="005F65A2"/>
    <w:rPr>
      <w:b/>
      <w:bCs/>
    </w:rPr>
  </w:style>
  <w:style w:type="character" w:customStyle="1" w:styleId="AsuntodelcomentarioCar">
    <w:name w:val="Asunto del comentario Car"/>
    <w:basedOn w:val="TextocomentarioCar"/>
    <w:link w:val="Asuntodelcomentario"/>
    <w:uiPriority w:val="99"/>
    <w:semiHidden/>
    <w:rsid w:val="005F65A2"/>
    <w:rPr>
      <w:b/>
      <w:bCs/>
      <w:sz w:val="20"/>
      <w:szCs w:val="20"/>
    </w:rPr>
  </w:style>
  <w:style w:type="character" w:styleId="CitaHTML">
    <w:name w:val="HTML Cite"/>
    <w:basedOn w:val="Fuentedeprrafopredeter"/>
    <w:uiPriority w:val="99"/>
    <w:semiHidden/>
    <w:unhideWhenUsed/>
    <w:rsid w:val="002A3AD5"/>
    <w:rPr>
      <w:i/>
      <w:iCs/>
    </w:rPr>
  </w:style>
  <w:style w:type="character" w:customStyle="1" w:styleId="author">
    <w:name w:val="author"/>
    <w:basedOn w:val="Fuentedeprrafopredeter"/>
    <w:rsid w:val="002A3AD5"/>
  </w:style>
  <w:style w:type="character" w:customStyle="1" w:styleId="journaltitle">
    <w:name w:val="journaltitle"/>
    <w:basedOn w:val="Fuentedeprrafopredeter"/>
    <w:rsid w:val="002A3AD5"/>
  </w:style>
  <w:style w:type="character" w:customStyle="1" w:styleId="pubyear">
    <w:name w:val="pubyear"/>
    <w:basedOn w:val="Fuentedeprrafopredeter"/>
    <w:rsid w:val="002A3AD5"/>
  </w:style>
  <w:style w:type="character" w:customStyle="1" w:styleId="vol">
    <w:name w:val="vol"/>
    <w:basedOn w:val="Fuentedeprrafopredeter"/>
    <w:rsid w:val="002A3AD5"/>
  </w:style>
  <w:style w:type="character" w:customStyle="1" w:styleId="pagefirst">
    <w:name w:val="pagefirst"/>
    <w:basedOn w:val="Fuentedeprrafopredeter"/>
    <w:rsid w:val="002A3AD5"/>
  </w:style>
  <w:style w:type="paragraph" w:customStyle="1" w:styleId="G1aFigureImage">
    <w:name w:val="G1a Figure Image"/>
    <w:basedOn w:val="Normal"/>
    <w:link w:val="G1aFigureImageChar"/>
    <w:qFormat/>
    <w:rsid w:val="00840845"/>
    <w:pPr>
      <w:pBdr>
        <w:top w:val="single" w:sz="12" w:space="5" w:color="999999"/>
      </w:pBdr>
      <w:spacing w:before="120" w:after="40" w:line="240" w:lineRule="auto"/>
      <w:jc w:val="center"/>
    </w:pPr>
    <w:rPr>
      <w:rFonts w:ascii="Times New Roman" w:hAnsi="Times New Roman" w:cs="Times New Roman"/>
      <w:w w:val="108"/>
      <w:sz w:val="18"/>
      <w:szCs w:val="18"/>
    </w:rPr>
  </w:style>
  <w:style w:type="character" w:customStyle="1" w:styleId="G1aFigureImageChar">
    <w:name w:val="G1a Figure Image Char"/>
    <w:basedOn w:val="Fuentedeprrafopredeter"/>
    <w:link w:val="G1aFigureImage"/>
    <w:rsid w:val="00840845"/>
    <w:rPr>
      <w:rFonts w:ascii="Times New Roman" w:hAnsi="Times New Roman" w:cs="Times New Roman"/>
      <w:w w:val="108"/>
      <w:sz w:val="18"/>
      <w:szCs w:val="18"/>
    </w:rPr>
  </w:style>
  <w:style w:type="character" w:styleId="nfasis">
    <w:name w:val="Emphasis"/>
    <w:basedOn w:val="Fuentedeprrafopredeter"/>
    <w:uiPriority w:val="20"/>
    <w:qFormat/>
    <w:rsid w:val="00A24EAA"/>
    <w:rPr>
      <w:b/>
      <w:bCs/>
      <w:i w:val="0"/>
      <w:iCs w:val="0"/>
    </w:rPr>
  </w:style>
  <w:style w:type="character" w:customStyle="1" w:styleId="st1">
    <w:name w:val="st1"/>
    <w:basedOn w:val="Fuentedeprrafopredeter"/>
    <w:rsid w:val="00A24E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47DB"/>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E547DB"/>
  </w:style>
  <w:style w:type="paragraph" w:styleId="Piedepgina">
    <w:name w:val="footer"/>
    <w:basedOn w:val="Normal"/>
    <w:link w:val="PiedepginaCar"/>
    <w:uiPriority w:val="99"/>
    <w:unhideWhenUsed/>
    <w:rsid w:val="00E547DB"/>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E547DB"/>
  </w:style>
  <w:style w:type="paragraph" w:styleId="Textodeglobo">
    <w:name w:val="Balloon Text"/>
    <w:basedOn w:val="Normal"/>
    <w:link w:val="TextodegloboCar"/>
    <w:uiPriority w:val="99"/>
    <w:semiHidden/>
    <w:unhideWhenUsed/>
    <w:rsid w:val="00E547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aconcuadrcula">
    <w:name w:val="Table Grid"/>
    <w:basedOn w:val="Tabla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Fuentedeprrafopredeter"/>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Fuentedeprrafopredeter"/>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Fuentedeprrafopredeter"/>
    <w:link w:val="RSCF02FootnotestoTitleAuthors"/>
    <w:rsid w:val="006556AC"/>
    <w:rPr>
      <w:rFonts w:cs="Times New Roman"/>
      <w:w w:val="105"/>
      <w:sz w:val="14"/>
      <w:szCs w:val="14"/>
    </w:rPr>
  </w:style>
  <w:style w:type="paragraph" w:styleId="Sinespaciado">
    <w:name w:val="No Spacing"/>
    <w:uiPriority w:val="1"/>
    <w:rsid w:val="00272D6F"/>
    <w:pPr>
      <w:spacing w:after="0" w:line="240" w:lineRule="auto"/>
    </w:pPr>
  </w:style>
  <w:style w:type="character" w:customStyle="1" w:styleId="RSCR02ReferencesChar">
    <w:name w:val="RSC R02 References Char"/>
    <w:basedOn w:val="Fuentedeprrafopredeter"/>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Fuentedeprrafopredeter"/>
    <w:link w:val="RSCH01PaperTitle"/>
    <w:rsid w:val="00C32EDF"/>
    <w:rPr>
      <w:rFonts w:cs="Times New Roman"/>
      <w:b/>
      <w:sz w:val="29"/>
      <w:szCs w:val="32"/>
    </w:rPr>
  </w:style>
  <w:style w:type="character" w:customStyle="1" w:styleId="RSCH02PaperAuthorsandBylineChar">
    <w:name w:val="RSC H02 Paper Authors and Byline Char"/>
    <w:basedOn w:val="Fuentedeprrafopredeter"/>
    <w:link w:val="RSCH02PaperAuthorsandByline"/>
    <w:rsid w:val="001633D9"/>
    <w:rPr>
      <w:rFonts w:cs="Times New Roman"/>
      <w:sz w:val="20"/>
    </w:rPr>
  </w:style>
  <w:style w:type="character" w:customStyle="1" w:styleId="RSCB01ARTAbstractChar">
    <w:name w:val="RSC B01 ART Abstract Char"/>
    <w:basedOn w:val="Fuentedeprrafopredeter"/>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Fuentedeprrafopredeter"/>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Fuentedeprrafopredeter"/>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Fuentedeprrafopredeter"/>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Fuentedeprrafopredeter"/>
    <w:link w:val="RSCI03FigureSchemeChartUncaptioned"/>
    <w:rsid w:val="006556AC"/>
    <w:rPr>
      <w:rFonts w:cs="Times New Roman"/>
      <w:sz w:val="16"/>
      <w:szCs w:val="16"/>
    </w:rPr>
  </w:style>
  <w:style w:type="character" w:customStyle="1" w:styleId="RSCB03MathematicsGreeketcChar">
    <w:name w:val="RSC B03 Mathematics/Greek etc Char"/>
    <w:basedOn w:val="Fuentedeprrafopredeter"/>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Fuentedeprrafopredeter"/>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Fuentedeprrafopredeter"/>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Fuentedeprrafopredeter"/>
    <w:link w:val="RSCT04TableFootnotewithbottombar"/>
    <w:rsid w:val="006556AC"/>
    <w:rPr>
      <w:rFonts w:eastAsia="Times New Roman" w:cs="Times New Roman"/>
      <w:sz w:val="15"/>
      <w:szCs w:val="20"/>
      <w:lang w:eastAsia="en-GB"/>
    </w:rPr>
  </w:style>
  <w:style w:type="character" w:styleId="Hipervnculo">
    <w:name w:val="Hyperlink"/>
    <w:basedOn w:val="Fuentedeprrafopredeter"/>
    <w:uiPriority w:val="99"/>
    <w:unhideWhenUsed/>
    <w:rsid w:val="005037CD"/>
    <w:rPr>
      <w:color w:val="0000FF" w:themeColor="hyperlink"/>
      <w:u w:val="single"/>
    </w:rPr>
  </w:style>
  <w:style w:type="paragraph" w:styleId="Prrafodelista">
    <w:name w:val="List Paragraph"/>
    <w:basedOn w:val="Normal"/>
    <w:uiPriority w:val="34"/>
    <w:rsid w:val="00F15F90"/>
    <w:pPr>
      <w:ind w:left="720"/>
      <w:contextualSpacing/>
    </w:pPr>
  </w:style>
  <w:style w:type="paragraph" w:styleId="Revisin">
    <w:name w:val="Revision"/>
    <w:hidden/>
    <w:uiPriority w:val="99"/>
    <w:semiHidden/>
    <w:rsid w:val="000D5891"/>
    <w:pPr>
      <w:spacing w:after="0" w:line="240" w:lineRule="auto"/>
    </w:pPr>
  </w:style>
  <w:style w:type="paragraph" w:styleId="Textonotapie">
    <w:name w:val="footnote text"/>
    <w:basedOn w:val="Normal"/>
    <w:link w:val="TextonotapieCar"/>
    <w:uiPriority w:val="99"/>
    <w:semiHidden/>
    <w:unhideWhenUsed/>
    <w:rsid w:val="00CA274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A2740"/>
    <w:rPr>
      <w:sz w:val="20"/>
      <w:szCs w:val="20"/>
    </w:rPr>
  </w:style>
  <w:style w:type="character" w:styleId="Refdenotaalpie">
    <w:name w:val="footnote reference"/>
    <w:basedOn w:val="Fuentedeprrafopredeter"/>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pgrafe">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Fuentedeprrafopredeter"/>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Fuentedeprrafopredeter"/>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Fuentedeprrafopredeter"/>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Fuentedeprrafopredeter"/>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Fuentedeprrafopredeter"/>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Fuentedeprrafopredeter"/>
    <w:link w:val="RSCB07BHeadingSub-Section-standalone"/>
    <w:rsid w:val="00EF6BD4"/>
    <w:rPr>
      <w:b/>
      <w:sz w:val="18"/>
    </w:rPr>
  </w:style>
  <w:style w:type="character" w:customStyle="1" w:styleId="RSCB08CHeadingIn-lineChar">
    <w:name w:val="RSC B08 C Heading (In-line) Char"/>
    <w:basedOn w:val="Fuentedeprrafopredeter"/>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qFormat/>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customStyle="1" w:styleId="G1bFigureCaption">
    <w:name w:val="G1b Figure Caption"/>
    <w:basedOn w:val="Normal"/>
    <w:link w:val="G1bFigureCaptionChar"/>
    <w:qFormat/>
    <w:rsid w:val="00C67AF3"/>
    <w:pPr>
      <w:pBdr>
        <w:bottom w:val="single" w:sz="12" w:space="5" w:color="999999"/>
      </w:pBdr>
      <w:spacing w:before="40" w:after="120" w:line="180" w:lineRule="exact"/>
      <w:jc w:val="both"/>
    </w:pPr>
    <w:rPr>
      <w:rFonts w:cstheme="minorHAnsi"/>
      <w:w w:val="108"/>
      <w:sz w:val="14"/>
      <w:szCs w:val="14"/>
    </w:rPr>
  </w:style>
  <w:style w:type="character" w:customStyle="1" w:styleId="G1bFigureCaptionChar">
    <w:name w:val="G1b Figure Caption Char"/>
    <w:basedOn w:val="Fuentedeprrafopredeter"/>
    <w:link w:val="G1bFigureCaption"/>
    <w:rsid w:val="00C67AF3"/>
    <w:rPr>
      <w:rFonts w:cstheme="minorHAnsi"/>
      <w:w w:val="108"/>
      <w:sz w:val="14"/>
      <w:szCs w:val="14"/>
    </w:rPr>
  </w:style>
  <w:style w:type="character" w:styleId="Refdecomentario">
    <w:name w:val="annotation reference"/>
    <w:basedOn w:val="Fuentedeprrafopredeter"/>
    <w:uiPriority w:val="99"/>
    <w:semiHidden/>
    <w:unhideWhenUsed/>
    <w:rsid w:val="005F65A2"/>
    <w:rPr>
      <w:sz w:val="16"/>
      <w:szCs w:val="16"/>
    </w:rPr>
  </w:style>
  <w:style w:type="paragraph" w:styleId="Textocomentario">
    <w:name w:val="annotation text"/>
    <w:basedOn w:val="Normal"/>
    <w:link w:val="TextocomentarioCar"/>
    <w:uiPriority w:val="99"/>
    <w:semiHidden/>
    <w:unhideWhenUsed/>
    <w:rsid w:val="005F65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F65A2"/>
    <w:rPr>
      <w:sz w:val="20"/>
      <w:szCs w:val="20"/>
    </w:rPr>
  </w:style>
  <w:style w:type="paragraph" w:styleId="Asuntodelcomentario">
    <w:name w:val="annotation subject"/>
    <w:basedOn w:val="Textocomentario"/>
    <w:next w:val="Textocomentario"/>
    <w:link w:val="AsuntodelcomentarioCar"/>
    <w:uiPriority w:val="99"/>
    <w:semiHidden/>
    <w:unhideWhenUsed/>
    <w:rsid w:val="005F65A2"/>
    <w:rPr>
      <w:b/>
      <w:bCs/>
    </w:rPr>
  </w:style>
  <w:style w:type="character" w:customStyle="1" w:styleId="AsuntodelcomentarioCar">
    <w:name w:val="Asunto del comentario Car"/>
    <w:basedOn w:val="TextocomentarioCar"/>
    <w:link w:val="Asuntodelcomentario"/>
    <w:uiPriority w:val="99"/>
    <w:semiHidden/>
    <w:rsid w:val="005F65A2"/>
    <w:rPr>
      <w:b/>
      <w:bCs/>
      <w:sz w:val="20"/>
      <w:szCs w:val="20"/>
    </w:rPr>
  </w:style>
  <w:style w:type="character" w:styleId="CitaHTML">
    <w:name w:val="HTML Cite"/>
    <w:basedOn w:val="Fuentedeprrafopredeter"/>
    <w:uiPriority w:val="99"/>
    <w:semiHidden/>
    <w:unhideWhenUsed/>
    <w:rsid w:val="002A3AD5"/>
    <w:rPr>
      <w:i/>
      <w:iCs/>
    </w:rPr>
  </w:style>
  <w:style w:type="character" w:customStyle="1" w:styleId="author">
    <w:name w:val="author"/>
    <w:basedOn w:val="Fuentedeprrafopredeter"/>
    <w:rsid w:val="002A3AD5"/>
  </w:style>
  <w:style w:type="character" w:customStyle="1" w:styleId="journaltitle">
    <w:name w:val="journaltitle"/>
    <w:basedOn w:val="Fuentedeprrafopredeter"/>
    <w:rsid w:val="002A3AD5"/>
  </w:style>
  <w:style w:type="character" w:customStyle="1" w:styleId="pubyear">
    <w:name w:val="pubyear"/>
    <w:basedOn w:val="Fuentedeprrafopredeter"/>
    <w:rsid w:val="002A3AD5"/>
  </w:style>
  <w:style w:type="character" w:customStyle="1" w:styleId="vol">
    <w:name w:val="vol"/>
    <w:basedOn w:val="Fuentedeprrafopredeter"/>
    <w:rsid w:val="002A3AD5"/>
  </w:style>
  <w:style w:type="character" w:customStyle="1" w:styleId="pagefirst">
    <w:name w:val="pagefirst"/>
    <w:basedOn w:val="Fuentedeprrafopredeter"/>
    <w:rsid w:val="002A3AD5"/>
  </w:style>
  <w:style w:type="paragraph" w:customStyle="1" w:styleId="G1aFigureImage">
    <w:name w:val="G1a Figure Image"/>
    <w:basedOn w:val="Normal"/>
    <w:link w:val="G1aFigureImageChar"/>
    <w:qFormat/>
    <w:rsid w:val="00840845"/>
    <w:pPr>
      <w:pBdr>
        <w:top w:val="single" w:sz="12" w:space="5" w:color="999999"/>
      </w:pBdr>
      <w:spacing w:before="120" w:after="40" w:line="240" w:lineRule="auto"/>
      <w:jc w:val="center"/>
    </w:pPr>
    <w:rPr>
      <w:rFonts w:ascii="Times New Roman" w:hAnsi="Times New Roman" w:cs="Times New Roman"/>
      <w:w w:val="108"/>
      <w:sz w:val="18"/>
      <w:szCs w:val="18"/>
    </w:rPr>
  </w:style>
  <w:style w:type="character" w:customStyle="1" w:styleId="G1aFigureImageChar">
    <w:name w:val="G1a Figure Image Char"/>
    <w:basedOn w:val="Fuentedeprrafopredeter"/>
    <w:link w:val="G1aFigureImage"/>
    <w:rsid w:val="00840845"/>
    <w:rPr>
      <w:rFonts w:ascii="Times New Roman" w:hAnsi="Times New Roman" w:cs="Times New Roman"/>
      <w:w w:val="108"/>
      <w:sz w:val="18"/>
      <w:szCs w:val="18"/>
    </w:rPr>
  </w:style>
  <w:style w:type="character" w:styleId="nfasis">
    <w:name w:val="Emphasis"/>
    <w:basedOn w:val="Fuentedeprrafopredeter"/>
    <w:uiPriority w:val="20"/>
    <w:qFormat/>
    <w:rsid w:val="00A24EAA"/>
    <w:rPr>
      <w:b/>
      <w:bCs/>
      <w:i w:val="0"/>
      <w:iCs w:val="0"/>
    </w:rPr>
  </w:style>
  <w:style w:type="character" w:customStyle="1" w:styleId="st1">
    <w:name w:val="st1"/>
    <w:basedOn w:val="Fuentedeprrafopredeter"/>
    <w:rsid w:val="00A24E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0635">
      <w:bodyDiv w:val="1"/>
      <w:marLeft w:val="0"/>
      <w:marRight w:val="0"/>
      <w:marTop w:val="0"/>
      <w:marBottom w:val="0"/>
      <w:divBdr>
        <w:top w:val="none" w:sz="0" w:space="0" w:color="auto"/>
        <w:left w:val="none" w:sz="0" w:space="0" w:color="auto"/>
        <w:bottom w:val="none" w:sz="0" w:space="0" w:color="auto"/>
        <w:right w:val="none" w:sz="0" w:space="0" w:color="auto"/>
      </w:divBdr>
    </w:div>
    <w:div w:id="204416244">
      <w:bodyDiv w:val="1"/>
      <w:marLeft w:val="0"/>
      <w:marRight w:val="0"/>
      <w:marTop w:val="0"/>
      <w:marBottom w:val="0"/>
      <w:divBdr>
        <w:top w:val="none" w:sz="0" w:space="0" w:color="auto"/>
        <w:left w:val="none" w:sz="0" w:space="0" w:color="auto"/>
        <w:bottom w:val="none" w:sz="0" w:space="0" w:color="auto"/>
        <w:right w:val="none" w:sz="0" w:space="0" w:color="auto"/>
      </w:divBdr>
    </w:div>
    <w:div w:id="334000394">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849173344">
      <w:bodyDiv w:val="1"/>
      <w:marLeft w:val="0"/>
      <w:marRight w:val="0"/>
      <w:marTop w:val="0"/>
      <w:marBottom w:val="0"/>
      <w:divBdr>
        <w:top w:val="none" w:sz="0" w:space="0" w:color="auto"/>
        <w:left w:val="none" w:sz="0" w:space="0" w:color="auto"/>
        <w:bottom w:val="none" w:sz="0" w:space="0" w:color="auto"/>
        <w:right w:val="none" w:sz="0" w:space="0" w:color="auto"/>
      </w:divBdr>
    </w:div>
    <w:div w:id="1023096213">
      <w:bodyDiv w:val="1"/>
      <w:marLeft w:val="0"/>
      <w:marRight w:val="0"/>
      <w:marTop w:val="0"/>
      <w:marBottom w:val="0"/>
      <w:divBdr>
        <w:top w:val="none" w:sz="0" w:space="0" w:color="auto"/>
        <w:left w:val="none" w:sz="0" w:space="0" w:color="auto"/>
        <w:bottom w:val="none" w:sz="0" w:space="0" w:color="auto"/>
        <w:right w:val="none" w:sz="0" w:space="0" w:color="auto"/>
      </w:divBdr>
      <w:divsChild>
        <w:div w:id="798455868">
          <w:marLeft w:val="0"/>
          <w:marRight w:val="0"/>
          <w:marTop w:val="0"/>
          <w:marBottom w:val="0"/>
          <w:divBdr>
            <w:top w:val="none" w:sz="0" w:space="0" w:color="auto"/>
            <w:left w:val="none" w:sz="0" w:space="0" w:color="auto"/>
            <w:bottom w:val="none" w:sz="0" w:space="0" w:color="auto"/>
            <w:right w:val="none" w:sz="0" w:space="0" w:color="auto"/>
          </w:divBdr>
        </w:div>
      </w:divsChild>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089618326">
      <w:bodyDiv w:val="1"/>
      <w:marLeft w:val="0"/>
      <w:marRight w:val="0"/>
      <w:marTop w:val="0"/>
      <w:marBottom w:val="0"/>
      <w:divBdr>
        <w:top w:val="none" w:sz="0" w:space="0" w:color="auto"/>
        <w:left w:val="none" w:sz="0" w:space="0" w:color="auto"/>
        <w:bottom w:val="none" w:sz="0" w:space="0" w:color="auto"/>
        <w:right w:val="none" w:sz="0" w:space="0" w:color="auto"/>
      </w:divBdr>
    </w:div>
    <w:div w:id="132096129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532257717">
      <w:bodyDiv w:val="1"/>
      <w:marLeft w:val="0"/>
      <w:marRight w:val="0"/>
      <w:marTop w:val="0"/>
      <w:marBottom w:val="0"/>
      <w:divBdr>
        <w:top w:val="none" w:sz="0" w:space="0" w:color="auto"/>
        <w:left w:val="none" w:sz="0" w:space="0" w:color="auto"/>
        <w:bottom w:val="none" w:sz="0" w:space="0" w:color="auto"/>
        <w:right w:val="none" w:sz="0" w:space="0" w:color="auto"/>
      </w:divBdr>
    </w:div>
    <w:div w:id="1904943717">
      <w:bodyDiv w:val="1"/>
      <w:marLeft w:val="0"/>
      <w:marRight w:val="0"/>
      <w:marTop w:val="0"/>
      <w:marBottom w:val="0"/>
      <w:divBdr>
        <w:top w:val="none" w:sz="0" w:space="0" w:color="auto"/>
        <w:left w:val="none" w:sz="0" w:space="0" w:color="auto"/>
        <w:bottom w:val="none" w:sz="0" w:space="0" w:color="auto"/>
        <w:right w:val="none" w:sz="0" w:space="0" w:color="auto"/>
      </w:divBdr>
    </w:div>
    <w:div w:id="211597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anmab\Documents\publicaciones\2015\RSC%20Advances_paCDs%20estadisticamente%20glicosiladas\art-template-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33C86-D353-4351-BE53-CD59BF0E7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art-template-1.3</Template>
  <TotalTime>0</TotalTime>
  <Pages>8</Pages>
  <Words>5388</Words>
  <Characters>29635</Characters>
  <Application>Microsoft Office Word</Application>
  <DocSecurity>0</DocSecurity>
  <Lines>246</Lines>
  <Paragraphs>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34954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juanmab</dc:creator>
  <cp:lastModifiedBy>Martín Sanz, Mª Ángeles</cp:lastModifiedBy>
  <cp:revision>2</cp:revision>
  <cp:lastPrinted>2014-10-09T15:34:00Z</cp:lastPrinted>
  <dcterms:created xsi:type="dcterms:W3CDTF">2015-10-06T06:57:00Z</dcterms:created>
  <dcterms:modified xsi:type="dcterms:W3CDTF">2015-10-06T06:57:00Z</dcterms:modified>
</cp:coreProperties>
</file>