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A54B4D" w14:textId="402287D5" w:rsidR="00CA5ACB" w:rsidRDefault="004078DF" w:rsidP="00CA5ACB">
      <w:pPr>
        <w:pStyle w:val="BATitle"/>
        <w:rPr>
          <w:b/>
        </w:rPr>
      </w:pPr>
      <w:r>
        <w:rPr>
          <w:b/>
        </w:rPr>
        <w:t>SUPPLEMENTARY DATA</w:t>
      </w:r>
    </w:p>
    <w:p w14:paraId="3AFA5077" w14:textId="77777777" w:rsidR="00223AB5" w:rsidRPr="00626302" w:rsidRDefault="00223AB5" w:rsidP="00223AB5">
      <w:pPr>
        <w:pStyle w:val="BATitle"/>
        <w:rPr>
          <w:b/>
        </w:rPr>
      </w:pPr>
      <w:r w:rsidRPr="00626302">
        <w:rPr>
          <w:b/>
        </w:rPr>
        <w:t>Nanoparticles of Poly(3-hexylthiophene): Toward a Solvent-Independent Performance of Electrochromic Films</w:t>
      </w:r>
    </w:p>
    <w:p w14:paraId="2FEDA598" w14:textId="480CD9C4" w:rsidR="00223AB5" w:rsidRPr="000A2FA4" w:rsidRDefault="00223AB5" w:rsidP="00223AB5">
      <w:pPr>
        <w:pStyle w:val="BBAuthorName"/>
        <w:rPr>
          <w:lang w:val="es-ES"/>
        </w:rPr>
      </w:pPr>
      <w:r w:rsidRPr="000A2FA4">
        <w:rPr>
          <w:lang w:val="es-ES"/>
        </w:rPr>
        <w:t>Antonio Cánovas-</w:t>
      </w:r>
      <w:proofErr w:type="spellStart"/>
      <w:r w:rsidRPr="000A2FA4">
        <w:rPr>
          <w:lang w:val="es-ES"/>
        </w:rPr>
        <w:t>Saura</w:t>
      </w:r>
      <w:proofErr w:type="gramStart"/>
      <w:r w:rsidRPr="000A2FA4">
        <w:rPr>
          <w:lang w:val="es-ES"/>
        </w:rPr>
        <w:t>,</w:t>
      </w:r>
      <w:r>
        <w:rPr>
          <w:vertAlign w:val="superscript"/>
          <w:lang w:val="es-ES"/>
        </w:rPr>
        <w:t>a</w:t>
      </w:r>
      <w:proofErr w:type="spellEnd"/>
      <w:proofErr w:type="gramEnd"/>
      <w:r w:rsidR="00A368EC">
        <w:rPr>
          <w:vertAlign w:val="superscript"/>
          <w:lang w:val="es-ES"/>
        </w:rPr>
        <w:t xml:space="preserve"> </w:t>
      </w:r>
      <w:r w:rsidRPr="000A2FA4">
        <w:rPr>
          <w:lang w:val="es-ES"/>
        </w:rPr>
        <w:t xml:space="preserve">Eduardo </w:t>
      </w:r>
      <w:proofErr w:type="spellStart"/>
      <w:r w:rsidRPr="000A2FA4">
        <w:rPr>
          <w:lang w:val="es-ES"/>
        </w:rPr>
        <w:t>Colom,</w:t>
      </w:r>
      <w:r>
        <w:rPr>
          <w:vertAlign w:val="superscript"/>
          <w:lang w:val="es-ES"/>
        </w:rPr>
        <w:t>b</w:t>
      </w:r>
      <w:proofErr w:type="spellEnd"/>
      <w:r w:rsidRPr="000A2FA4">
        <w:rPr>
          <w:lang w:val="es-ES"/>
        </w:rPr>
        <w:t xml:space="preserve"> Javier </w:t>
      </w:r>
      <w:proofErr w:type="spellStart"/>
      <w:r w:rsidRPr="000A2FA4">
        <w:rPr>
          <w:lang w:val="es-ES"/>
        </w:rPr>
        <w:t>Padilla,</w:t>
      </w:r>
      <w:r>
        <w:rPr>
          <w:vertAlign w:val="superscript"/>
          <w:lang w:val="es-ES"/>
        </w:rPr>
        <w:t>a</w:t>
      </w:r>
      <w:proofErr w:type="spellEnd"/>
      <w:r w:rsidR="00A368EC">
        <w:rPr>
          <w:vertAlign w:val="superscript"/>
          <w:lang w:val="es-ES"/>
        </w:rPr>
        <w:t>*</w:t>
      </w:r>
      <w:r w:rsidRPr="000A2FA4">
        <w:rPr>
          <w:lang w:val="es-ES"/>
        </w:rPr>
        <w:t xml:space="preserve"> Antonio </w:t>
      </w:r>
      <w:proofErr w:type="spellStart"/>
      <w:r w:rsidRPr="000A2FA4">
        <w:rPr>
          <w:lang w:val="es-ES"/>
        </w:rPr>
        <w:t>Urbina,</w:t>
      </w:r>
      <w:r>
        <w:rPr>
          <w:vertAlign w:val="superscript"/>
          <w:lang w:val="es-ES"/>
        </w:rPr>
        <w:t>c</w:t>
      </w:r>
      <w:proofErr w:type="spellEnd"/>
    </w:p>
    <w:p w14:paraId="4AF6932E" w14:textId="77777777" w:rsidR="00223AB5" w:rsidRPr="00781E00" w:rsidRDefault="00223AB5" w:rsidP="00223AB5">
      <w:pPr>
        <w:pStyle w:val="BBAuthorName"/>
        <w:rPr>
          <w:lang w:val="es-ES"/>
        </w:rPr>
      </w:pPr>
      <w:r w:rsidRPr="00E94299">
        <w:rPr>
          <w:lang w:val="de-DE"/>
        </w:rPr>
        <w:t>Wolfgang K. Maser</w:t>
      </w:r>
      <w:r>
        <w:rPr>
          <w:lang w:val="de-DE"/>
        </w:rPr>
        <w:t>,</w:t>
      </w:r>
      <w:r>
        <w:rPr>
          <w:vertAlign w:val="superscript"/>
          <w:lang w:val="de-DE"/>
        </w:rPr>
        <w:t>b**</w:t>
      </w:r>
      <w:r w:rsidRPr="00781E00">
        <w:rPr>
          <w:lang w:val="de-DE"/>
        </w:rPr>
        <w:t xml:space="preserve"> </w:t>
      </w:r>
      <w:r w:rsidRPr="00E94299">
        <w:rPr>
          <w:lang w:val="de-DE"/>
        </w:rPr>
        <w:t>Ana M. Benito</w:t>
      </w:r>
      <w:r>
        <w:rPr>
          <w:vertAlign w:val="superscript"/>
          <w:lang w:val="de-DE"/>
        </w:rPr>
        <w:t>b</w:t>
      </w:r>
    </w:p>
    <w:p w14:paraId="7079392E" w14:textId="77777777" w:rsidR="00223AB5" w:rsidRPr="00ED5012" w:rsidRDefault="00223AB5" w:rsidP="00223AB5">
      <w:pPr>
        <w:pStyle w:val="BCAuthorAddress"/>
      </w:pPr>
      <w:proofErr w:type="spellStart"/>
      <w:r>
        <w:rPr>
          <w:vertAlign w:val="superscript"/>
        </w:rPr>
        <w:t>a</w:t>
      </w:r>
      <w:r w:rsidRPr="00ED5012">
        <w:t>Department</w:t>
      </w:r>
      <w:proofErr w:type="spellEnd"/>
      <w:r w:rsidRPr="00ED5012">
        <w:t xml:space="preserve"> of Applied Physics and Naval Technology, Technical University of Cartagena, </w:t>
      </w:r>
      <w:proofErr w:type="spellStart"/>
      <w:r w:rsidRPr="00ED5012">
        <w:t>Pz</w:t>
      </w:r>
      <w:proofErr w:type="spellEnd"/>
      <w:r>
        <w:t>.</w:t>
      </w:r>
      <w:r w:rsidRPr="00ED5012">
        <w:t xml:space="preserve"> Hospital 1, 30202 Cartagena, Spain</w:t>
      </w:r>
    </w:p>
    <w:p w14:paraId="75938202" w14:textId="77777777" w:rsidR="00223AB5" w:rsidRPr="000A2FA4" w:rsidRDefault="00223AB5" w:rsidP="00223AB5">
      <w:pPr>
        <w:pStyle w:val="BCAuthorAddress"/>
        <w:rPr>
          <w:lang w:val="es-ES"/>
        </w:rPr>
      </w:pPr>
      <w:proofErr w:type="spellStart"/>
      <w:r>
        <w:rPr>
          <w:vertAlign w:val="superscript"/>
          <w:lang w:val="es-ES"/>
        </w:rPr>
        <w:t>b</w:t>
      </w:r>
      <w:r w:rsidRPr="000A2FA4">
        <w:rPr>
          <w:lang w:val="es-ES"/>
        </w:rPr>
        <w:t>Instituto</w:t>
      </w:r>
      <w:proofErr w:type="spellEnd"/>
      <w:r w:rsidRPr="000A2FA4">
        <w:rPr>
          <w:lang w:val="es-ES"/>
        </w:rPr>
        <w:t xml:space="preserve"> de </w:t>
      </w:r>
      <w:proofErr w:type="spellStart"/>
      <w:r w:rsidRPr="000A2FA4">
        <w:rPr>
          <w:lang w:val="es-ES"/>
        </w:rPr>
        <w:t>Carboquímica</w:t>
      </w:r>
      <w:proofErr w:type="spellEnd"/>
      <w:r w:rsidRPr="000A2FA4">
        <w:rPr>
          <w:lang w:val="es-ES"/>
        </w:rPr>
        <w:t xml:space="preserve"> </w:t>
      </w:r>
      <w:r>
        <w:rPr>
          <w:lang w:val="es-ES"/>
        </w:rPr>
        <w:t>(</w:t>
      </w:r>
      <w:r w:rsidRPr="000A2FA4">
        <w:rPr>
          <w:lang w:val="es-ES"/>
        </w:rPr>
        <w:t>ICB-CSIC</w:t>
      </w:r>
      <w:r>
        <w:rPr>
          <w:lang w:val="es-ES"/>
        </w:rPr>
        <w:t>)</w:t>
      </w:r>
      <w:r w:rsidRPr="000A2FA4">
        <w:rPr>
          <w:lang w:val="es-ES"/>
        </w:rPr>
        <w:t xml:space="preserve">, C/Miguel Luesma Castán 4, 50018 Zaragoza, </w:t>
      </w:r>
      <w:proofErr w:type="spellStart"/>
      <w:r w:rsidRPr="000A2FA4">
        <w:rPr>
          <w:lang w:val="es-ES"/>
        </w:rPr>
        <w:t>Spain</w:t>
      </w:r>
      <w:proofErr w:type="spellEnd"/>
    </w:p>
    <w:p w14:paraId="36EF80EF" w14:textId="77777777" w:rsidR="00223AB5" w:rsidRPr="000A2FA4" w:rsidRDefault="00223AB5" w:rsidP="00223AB5">
      <w:pPr>
        <w:pStyle w:val="BCAuthorAddress"/>
        <w:rPr>
          <w:lang w:val="es-ES"/>
        </w:rPr>
      </w:pPr>
      <w:proofErr w:type="spellStart"/>
      <w:r>
        <w:rPr>
          <w:vertAlign w:val="superscript"/>
          <w:lang w:val="es-ES"/>
        </w:rPr>
        <w:t>c</w:t>
      </w:r>
      <w:r w:rsidRPr="000A2FA4">
        <w:rPr>
          <w:lang w:val="es-ES"/>
        </w:rPr>
        <w:t>Departamento</w:t>
      </w:r>
      <w:proofErr w:type="spellEnd"/>
      <w:r w:rsidRPr="000A2FA4">
        <w:rPr>
          <w:lang w:val="es-ES"/>
        </w:rPr>
        <w:t xml:space="preserve"> de Ciencias e Instituto de Materiales Avanzados y Matemáticas</w:t>
      </w:r>
    </w:p>
    <w:p w14:paraId="1D32348E" w14:textId="77777777" w:rsidR="00223AB5" w:rsidRDefault="00223AB5" w:rsidP="00223AB5">
      <w:pPr>
        <w:pStyle w:val="BCAuthorAddress"/>
        <w:rPr>
          <w:lang w:val="es-ES"/>
        </w:rPr>
      </w:pPr>
      <w:r w:rsidRPr="000A2FA4">
        <w:rPr>
          <w:lang w:val="es-ES"/>
        </w:rPr>
        <w:t>(INAMAT2), Universidad Pública de Navarra (UPNA), E-31006 Pamplona (</w:t>
      </w:r>
      <w:proofErr w:type="spellStart"/>
      <w:r w:rsidRPr="000A2FA4">
        <w:rPr>
          <w:lang w:val="es-ES"/>
        </w:rPr>
        <w:t>Spain</w:t>
      </w:r>
      <w:proofErr w:type="spellEnd"/>
      <w:r w:rsidRPr="000A2FA4">
        <w:rPr>
          <w:lang w:val="es-ES"/>
        </w:rPr>
        <w:t>)</w:t>
      </w:r>
    </w:p>
    <w:p w14:paraId="2A16FC5C" w14:textId="2237E6B1" w:rsidR="00223AB5" w:rsidRDefault="00223AB5" w:rsidP="00223AB5">
      <w:pPr>
        <w:pStyle w:val="BCAuthorAddress"/>
        <w:rPr>
          <w:rFonts w:ascii="Times New Roman" w:hAnsi="Times New Roman"/>
          <w:szCs w:val="24"/>
        </w:rPr>
      </w:pPr>
      <w:r w:rsidRPr="00781E00">
        <w:rPr>
          <w:rFonts w:ascii="Times New Roman" w:hAnsi="Times New Roman"/>
          <w:szCs w:val="24"/>
        </w:rPr>
        <w:t>*</w:t>
      </w:r>
      <w:r>
        <w:rPr>
          <w:rFonts w:ascii="Times New Roman" w:hAnsi="Times New Roman"/>
          <w:szCs w:val="24"/>
        </w:rPr>
        <w:t>Corresp</w:t>
      </w:r>
      <w:bookmarkStart w:id="0" w:name="_GoBack"/>
      <w:bookmarkEnd w:id="0"/>
      <w:r>
        <w:rPr>
          <w:rFonts w:ascii="Times New Roman" w:hAnsi="Times New Roman"/>
          <w:szCs w:val="24"/>
        </w:rPr>
        <w:t>onding author</w:t>
      </w:r>
      <w:r w:rsidRPr="00781E00">
        <w:rPr>
          <w:rFonts w:ascii="Times New Roman" w:hAnsi="Times New Roman"/>
          <w:szCs w:val="24"/>
        </w:rPr>
        <w:t xml:space="preserve">: </w:t>
      </w:r>
      <w:r w:rsidR="00A368EC">
        <w:rPr>
          <w:rFonts w:ascii="Times New Roman" w:hAnsi="Times New Roman"/>
          <w:szCs w:val="24"/>
        </w:rPr>
        <w:t>javier.padilla@upct.es</w:t>
      </w:r>
      <w:r w:rsidRPr="00781E00">
        <w:rPr>
          <w:rFonts w:ascii="Times New Roman" w:hAnsi="Times New Roman"/>
          <w:szCs w:val="24"/>
        </w:rPr>
        <w:t>;</w:t>
      </w:r>
      <w:r>
        <w:rPr>
          <w:rFonts w:ascii="Times New Roman" w:hAnsi="Times New Roman"/>
          <w:szCs w:val="24"/>
        </w:rPr>
        <w:t xml:space="preserve"> </w:t>
      </w:r>
    </w:p>
    <w:p w14:paraId="4EDC27EB" w14:textId="20DBC349" w:rsidR="00223AB5" w:rsidRPr="00781E00" w:rsidRDefault="00223AB5" w:rsidP="00223AB5">
      <w:pPr>
        <w:pStyle w:val="BCAuthorAddress"/>
        <w:rPr>
          <w:rFonts w:ascii="Times New Roman" w:hAnsi="Times New Roman"/>
        </w:rPr>
      </w:pPr>
      <w:r>
        <w:rPr>
          <w:rFonts w:ascii="Times New Roman" w:hAnsi="Times New Roman"/>
          <w:szCs w:val="24"/>
        </w:rPr>
        <w:t>**Corresponding author</w:t>
      </w:r>
      <w:r w:rsidR="00F004C7">
        <w:rPr>
          <w:rFonts w:ascii="Times New Roman" w:hAnsi="Times New Roman"/>
          <w:szCs w:val="24"/>
        </w:rPr>
        <w:t>:</w:t>
      </w:r>
      <w:r w:rsidRPr="00781E00">
        <w:rPr>
          <w:rFonts w:ascii="Times New Roman" w:hAnsi="Times New Roman"/>
          <w:szCs w:val="24"/>
        </w:rPr>
        <w:t xml:space="preserve"> </w:t>
      </w:r>
      <w:hyperlink r:id="rId8" w:history="1">
        <w:r w:rsidR="00A368EC" w:rsidRPr="009C55D9">
          <w:rPr>
            <w:rStyle w:val="Hipervnculo"/>
            <w:rFonts w:ascii="Times New Roman" w:hAnsi="Times New Roman"/>
            <w:szCs w:val="24"/>
          </w:rPr>
          <w:t>wmaser@icb.csic.es</w:t>
        </w:r>
      </w:hyperlink>
    </w:p>
    <w:p w14:paraId="5585D6A3" w14:textId="77777777" w:rsidR="00CA5ACB" w:rsidRDefault="00CA5ACB" w:rsidP="00CA5ACB">
      <w:pPr>
        <w:pStyle w:val="TAMainText"/>
        <w:rPr>
          <w:b/>
        </w:rPr>
      </w:pPr>
    </w:p>
    <w:p w14:paraId="0A880056" w14:textId="77777777" w:rsidR="00DE4DFF" w:rsidRPr="00DE4DFF" w:rsidRDefault="00DE4DFF" w:rsidP="00CA5ACB">
      <w:pPr>
        <w:pStyle w:val="TAMainText"/>
        <w:rPr>
          <w:b/>
        </w:rPr>
      </w:pPr>
    </w:p>
    <w:p w14:paraId="1E81A3E8" w14:textId="77777777" w:rsidR="00CA5ACB" w:rsidRPr="00CA5ACB" w:rsidRDefault="00CA5ACB" w:rsidP="00CA5ACB">
      <w:pPr>
        <w:pStyle w:val="TAMainText"/>
        <w:rPr>
          <w:b/>
        </w:rPr>
      </w:pPr>
      <w:r w:rsidRPr="00CA5ACB">
        <w:rPr>
          <w:b/>
        </w:rPr>
        <w:t>Index:</w:t>
      </w:r>
    </w:p>
    <w:p w14:paraId="6E79CBC0" w14:textId="77777777" w:rsidR="00CA5ACB" w:rsidRPr="00ED5012" w:rsidRDefault="00CA5ACB" w:rsidP="00CA5ACB">
      <w:pPr>
        <w:pStyle w:val="TAMainText"/>
      </w:pPr>
      <w:r w:rsidRPr="00ED5012">
        <w:t>S1. UV-vis absorption spectra</w:t>
      </w:r>
      <w:r w:rsidRPr="00ED5012">
        <w:tab/>
      </w:r>
      <w:r w:rsidRPr="00ED5012">
        <w:tab/>
      </w:r>
      <w:r w:rsidRPr="00ED5012">
        <w:tab/>
        <w:t xml:space="preserve">p. </w:t>
      </w:r>
      <w:r w:rsidR="008879CB">
        <w:t>3</w:t>
      </w:r>
    </w:p>
    <w:p w14:paraId="518A8819" w14:textId="6D53EC07" w:rsidR="00CA5ACB" w:rsidRPr="00ED5012" w:rsidRDefault="00CA5ACB" w:rsidP="00CA5ACB">
      <w:pPr>
        <w:pStyle w:val="TAMainText"/>
      </w:pPr>
      <w:r w:rsidRPr="00ED5012">
        <w:t xml:space="preserve">S2. </w:t>
      </w:r>
      <w:r w:rsidR="0080724F" w:rsidRPr="0080724F">
        <w:t>Redox charge density &amp; thickness</w:t>
      </w:r>
      <w:r w:rsidRPr="00ED5012">
        <w:tab/>
      </w:r>
      <w:r w:rsidRPr="00ED5012">
        <w:tab/>
        <w:t xml:space="preserve">p. </w:t>
      </w:r>
      <w:r w:rsidR="008879CB">
        <w:t>4</w:t>
      </w:r>
    </w:p>
    <w:p w14:paraId="4A9410F5" w14:textId="62C4F4CF" w:rsidR="00CA5ACB" w:rsidRPr="00ED5012" w:rsidRDefault="00CA5ACB" w:rsidP="00CA5ACB">
      <w:pPr>
        <w:pStyle w:val="TAMainText"/>
      </w:pPr>
      <w:r w:rsidRPr="00ED5012">
        <w:t xml:space="preserve">S3. </w:t>
      </w:r>
      <w:r w:rsidR="00F348CD" w:rsidRPr="00ED5012">
        <w:t>Stationary transmittance at 520 nm</w:t>
      </w:r>
      <w:r w:rsidRPr="00ED5012">
        <w:tab/>
      </w:r>
      <w:r w:rsidRPr="00ED5012">
        <w:tab/>
        <w:t xml:space="preserve">p. </w:t>
      </w:r>
      <w:r w:rsidR="00E52A95">
        <w:t>6</w:t>
      </w:r>
    </w:p>
    <w:p w14:paraId="2D5B53BB" w14:textId="38F0891C" w:rsidR="00CA5ACB" w:rsidRDefault="00CA5ACB" w:rsidP="00CA5ACB">
      <w:pPr>
        <w:pStyle w:val="TAMainText"/>
      </w:pPr>
      <w:r w:rsidRPr="00ED5012">
        <w:t xml:space="preserve">S4. </w:t>
      </w:r>
      <w:r w:rsidR="00F348CD" w:rsidRPr="00ED5012">
        <w:t>Transmittance spectra</w:t>
      </w:r>
      <w:r w:rsidR="00F348CD" w:rsidRPr="00ED5012">
        <w:tab/>
      </w:r>
      <w:r w:rsidRPr="00ED5012">
        <w:tab/>
      </w:r>
      <w:r w:rsidRPr="00ED5012">
        <w:tab/>
      </w:r>
      <w:r w:rsidR="00EF00BD">
        <w:tab/>
      </w:r>
      <w:r w:rsidRPr="00ED5012">
        <w:t xml:space="preserve">p. </w:t>
      </w:r>
      <w:r w:rsidR="00E52A95">
        <w:t>8</w:t>
      </w:r>
    </w:p>
    <w:p w14:paraId="23A806C6" w14:textId="57380BF0" w:rsidR="00CA5ACB" w:rsidRDefault="00CA5ACB" w:rsidP="00CA5ACB">
      <w:pPr>
        <w:pStyle w:val="TAMainText"/>
      </w:pPr>
      <w:r>
        <w:t>S5. Switching speed</w:t>
      </w:r>
      <w:r>
        <w:tab/>
      </w:r>
      <w:r>
        <w:tab/>
      </w:r>
      <w:r>
        <w:tab/>
      </w:r>
      <w:r>
        <w:tab/>
      </w:r>
      <w:r>
        <w:tab/>
        <w:t xml:space="preserve">p. </w:t>
      </w:r>
      <w:r w:rsidR="00E52A95">
        <w:t>9</w:t>
      </w:r>
    </w:p>
    <w:p w14:paraId="0018AB9B" w14:textId="2B55C588" w:rsidR="00CA5ACB" w:rsidRPr="00ED5012" w:rsidRDefault="00CA5ACB" w:rsidP="00CA5ACB">
      <w:pPr>
        <w:pStyle w:val="TAMainText"/>
      </w:pPr>
      <w:r>
        <w:t>S6. Stability test</w:t>
      </w:r>
      <w:r>
        <w:tab/>
      </w:r>
      <w:r>
        <w:tab/>
      </w:r>
      <w:r>
        <w:tab/>
      </w:r>
      <w:r>
        <w:tab/>
      </w:r>
      <w:r>
        <w:tab/>
        <w:t xml:space="preserve">p. </w:t>
      </w:r>
      <w:r w:rsidR="00E52A95">
        <w:t>10</w:t>
      </w:r>
    </w:p>
    <w:p w14:paraId="4D7C0C56" w14:textId="1355A9B9" w:rsidR="00CA5ACB" w:rsidRDefault="00CA5ACB" w:rsidP="00CA5ACB">
      <w:pPr>
        <w:pStyle w:val="TAMainText"/>
      </w:pPr>
      <w:r w:rsidRPr="00ED5012">
        <w:t>S</w:t>
      </w:r>
      <w:r>
        <w:t>7</w:t>
      </w:r>
      <w:r w:rsidRPr="00ED5012">
        <w:t>. Spin-coated P3HT-CHCl</w:t>
      </w:r>
      <w:r w:rsidRPr="00ED5012">
        <w:rPr>
          <w:vertAlign w:val="subscript"/>
        </w:rPr>
        <w:t>3</w:t>
      </w:r>
      <w:r w:rsidRPr="00C00384">
        <w:t xml:space="preserve"> film</w:t>
      </w:r>
      <w:r w:rsidRPr="00ED5012">
        <w:tab/>
      </w:r>
      <w:r w:rsidRPr="00ED5012">
        <w:tab/>
      </w:r>
      <w:r w:rsidRPr="00ED5012">
        <w:tab/>
        <w:t xml:space="preserve">p. </w:t>
      </w:r>
      <w:r w:rsidR="008879CB">
        <w:t>1</w:t>
      </w:r>
      <w:r w:rsidR="00E52A95">
        <w:t>1</w:t>
      </w:r>
    </w:p>
    <w:p w14:paraId="2AF20D78" w14:textId="77777777" w:rsidR="009150C5" w:rsidRDefault="009150C5" w:rsidP="00CA5ACB">
      <w:pPr>
        <w:pStyle w:val="TAMainText"/>
      </w:pPr>
      <w:r>
        <w:t>References</w:t>
      </w:r>
      <w:r>
        <w:tab/>
      </w:r>
      <w:r>
        <w:tab/>
      </w:r>
      <w:r>
        <w:tab/>
      </w:r>
      <w:r>
        <w:tab/>
      </w:r>
      <w:r>
        <w:tab/>
      </w:r>
      <w:r>
        <w:tab/>
        <w:t>p.1</w:t>
      </w:r>
      <w:r w:rsidR="008879CB">
        <w:t>2</w:t>
      </w:r>
    </w:p>
    <w:p w14:paraId="22FB8DFC" w14:textId="77777777" w:rsidR="00CA5ACB" w:rsidRDefault="00CA5ACB" w:rsidP="00CA5ACB">
      <w:pPr>
        <w:pStyle w:val="BBAuthorName"/>
      </w:pPr>
      <w:r>
        <w:br w:type="page"/>
      </w:r>
    </w:p>
    <w:p w14:paraId="2782CAC6" w14:textId="77777777" w:rsidR="00CA5ACB" w:rsidRPr="00CA5ACB" w:rsidRDefault="00CA5ACB" w:rsidP="00CA5ACB">
      <w:pPr>
        <w:pStyle w:val="TAMainText"/>
        <w:rPr>
          <w:b/>
          <w:bCs/>
        </w:rPr>
      </w:pPr>
      <w:r w:rsidRPr="00CA5ACB">
        <w:rPr>
          <w:b/>
          <w:bCs/>
        </w:rPr>
        <w:lastRenderedPageBreak/>
        <w:t>S1. UV-vis absorption spectra</w:t>
      </w:r>
    </w:p>
    <w:p w14:paraId="5FA9D9AE" w14:textId="5D18FB01" w:rsidR="00CA5ACB" w:rsidRPr="00ED5012" w:rsidRDefault="00CA5ACB" w:rsidP="00CA5ACB">
      <w:pPr>
        <w:pStyle w:val="TAMainText"/>
        <w:ind w:firstLine="0"/>
      </w:pPr>
      <w:r w:rsidRPr="00ED5012">
        <w:rPr>
          <w:lang w:val="en-GB"/>
        </w:rPr>
        <w:t>The UV-vis spectra (Figure S1) of P3HT-THF and CHCl</w:t>
      </w:r>
      <w:r w:rsidRPr="00ED5012">
        <w:rPr>
          <w:vertAlign w:val="subscript"/>
          <w:lang w:val="en-GB"/>
        </w:rPr>
        <w:t>3</w:t>
      </w:r>
      <w:r w:rsidRPr="00ED5012">
        <w:rPr>
          <w:lang w:val="en-GB"/>
        </w:rPr>
        <w:t xml:space="preserve"> solutions show a featureless broad π-π* transition absorption band with its maximum at 445 nm, typical for amorphous P3HT. This band is red-shifted to 510 nm for the nanoparticle polymer P3HT (NP) dispersions. The spectra for these dispersions also show the appearance of peaks at </w:t>
      </w:r>
      <w:r w:rsidRPr="00ED5012">
        <w:t xml:space="preserve">520 nm, 560 nm, and 620 nm, which indicate the existence of </w:t>
      </w:r>
      <w:r w:rsidRPr="00ED5012">
        <w:rPr>
          <w:lang w:val="en-GB"/>
        </w:rPr>
        <w:t>vibronic transitions caused by the internal aggregation of the P3HT chains inside the nanoparticles.</w:t>
      </w:r>
      <w:r w:rsidRPr="00ED5012">
        <w:rPr>
          <w:lang w:val="en-GB"/>
        </w:rPr>
        <w:fldChar w:fldCharType="begin"/>
      </w:r>
      <w:r w:rsidR="00E52A95">
        <w:rPr>
          <w:lang w:val="en-GB"/>
        </w:rPr>
        <w:instrText xml:space="preserve"> ADDIN ZOTERO_ITEM CSL_CITATION {"citationID":"KpcNIFxN","properties":{"formattedCitation":"[1,2]","plainCitation":"[1,2]","noteIndex":0},"citationItems":[{"id":564,"uris":["http://zotero.org/users/local/zidT4J8u/items/M2HTA95X"],"itemData":{"id":564,"type":"article-journal","abstract":"Aggregates of conjugated polymers exhibit two classes of fundamental electronic interactions: those occurring within a given chain and those occurring between chains. The impact of such excitonic interactions on the photophysics of polymer films can be understood using concepts of J- and H-aggregation originally developed by Kasha and coworkers to treat aggregates of small molecules. In polymer assemblies, intrachain through-bond interactions lead to J-aggregate behavior, whereas interchain Coulombic interactions lead to H-aggregate behavior. The photophysics of common emissive conjugated polymer films are determined by a competition between intrachain, J-favoring interactions and interchain, H-favoring interactions. We review formalisms describing absorption and photoluminescence lineshapes, based on intra- and intermolecular excitonic coupling, electron-vibrational coupling, and correlated energetic disorder. Examples include regioregular polythiophenes, pheneylene-vinylenes, and polydiacetylene.","container-title":"Annual Review of Physical Chemistry","DOI":"10.1146/annurev-physchem-040513-103639","ISSN":"0066-426X","issue":"1","journalAbbreviation":"Annu. Rev. Phys. Chem.","note":"publisher: Annual Reviews","page":"477-500","title":"H- and J-Aggregate Behavior in Polymeric Semiconductors","volume":"65","author":[{"family":"Spano","given":"Frank C."},{"family":"Silva","given":"Carlos"}],"issued":{"date-parts":[["2014",4,1]]}}},{"id":550,"uris":["http://zotero.org/users/local/zidT4J8u/items/WNJZNSQU"],"itemData":{"id":550,"type":"article-journal","abstract":"ConspectusExcitons and polarons play a central role in the electronic and optical properties of organic semiconducting polymers and molecular aggregates and are of fundamental importance in understanding the operation of organic optoelectronic devices such as solar cells and light-emitting diodes. For many conjugated organic molecules and polymers, the creation of neutral electronic excitations or ionic radicals is associated with significant nuclear relaxation, the bulk of which occurs along the vinyl-stretching mode or the aromatic–quinoidal stretching mode when conjugated rings are present. Within a polymer chain or molecular aggregate, nuclear relaxation competes with energy- and charge-transfer, mediated by electronic interactions between the constituent units (repeat units for polymers and individual chromophores for a molecular aggregate); for neutral electronic excitations, such inter-unit interactions lead to extended excited states or excitons, while for positive (or negative) charges, interactions lead to delocalized hole (or electron) polarons. The electronic coupling as well as the local coupling between electronic and nuclear degrees of freedom in both excitons and polarons can be described with a Holstein Hamiltonian. However, although excitons and polarons derive from similarly structured Hamiltonians, their optical signatures are quite distinct, largely due to differing ground states and optical selection rules.In this Account, we explore the similarities and differences in the spectral response of excitons and polarons in organic polymers and molecular aggregates. We limit our analysis to the subspace of excitons and hole polarons containing at most one excitation; hence we omit the influence of bipolarons, biexcitons, and higher multiparticle excitations. Using a generic linear array of coupled units as a model host for both excitons and polarons, we compare and contrast the optical responses of both quasiparticles, with a particular emphasis on the spatial coherence length, the length over which an exciton or polaron possesses wave-like properties important for more efficient transport. For excitons, the UV–vis absorption spectrum is generally represented by a distorted vibronic progression with H-like or J-like signatures depending on the sign of the electronic coupling, Jex. The spectrum broadens with increasing site disorder, with the spectral area preserved due to an oscillator strength sum rule. For (hole) polarons, the generally stronger electronic coupling results in a mid-IR spectrum consisting of a narrow, low-energy peak (A) with energy near a vibrational quantum of the vinyl stretching mode, and a broader, higher-energy feature (B). In contrast to the UV–vis spectrum, the mid-IR spectrum is invariant to the sign of the electronic coupling, th, and completely resistant to long-range disorder, where it remains entirely homogeneously broadened. Even in the presence of short-range disorder, the width of peak A remains surprisingly narrow as long as |th| remains sufficiently large, a property that can be understood in terms of Herzberg–Teller coupling. Unlike for excitons, for polarons, the absorption spectral area decreases with increasing short-range disorder σ (i.e., there is no oscillator sum rule) reflective of a decreasing polaron coherence length. The intensity of the low-energy peak A in relation to B is an important signature of polaron coherence. By contrast, for excitons, the absorption spectrum contains no unambiguous signs of exciton coherence. One must instead resort to the shape of the steady-state photoluminescence spectrum. The Holstein-based model has been highly successful in accounting for the spectral properties of molecular aggregates as well as conjugated polymers like poly(3-hexylthiophene) (P3HT) in the mid-IR and UV–vis spectral regions.","container-title":"Accounts of Chemical Research","DOI":"10.1021/acs.accounts.0c00349","ISSN":"0001-4842","issue":"10","journalAbbreviation":"Acc. Chem. Res.","note":"publisher: American Chemical Society","page":"2201-2211","title":"Excitons and Polarons in Organic Materials","volume":"53","author":[{"family":"Ghosh","given":"Raja"},{"family":"Spano","given":"Frank C."}],"issued":{"date-parts":[["2020",10,20]]}}}],"schema":"https://github.com/citation-style-language/schema/raw/master/csl-citation.json"} </w:instrText>
      </w:r>
      <w:r w:rsidRPr="00ED5012">
        <w:rPr>
          <w:lang w:val="en-GB"/>
        </w:rPr>
        <w:fldChar w:fldCharType="separate"/>
      </w:r>
      <w:r w:rsidR="00E52A95" w:rsidRPr="00E52A95">
        <w:rPr>
          <w:rFonts w:cs="Times"/>
        </w:rPr>
        <w:t>[1,2]</w:t>
      </w:r>
      <w:r w:rsidRPr="00ED5012">
        <w:rPr>
          <w:lang w:val="en-GB"/>
        </w:rPr>
        <w:fldChar w:fldCharType="end"/>
      </w:r>
      <w:r w:rsidRPr="00ED5012">
        <w:rPr>
          <w:lang w:val="en-GB"/>
        </w:rPr>
        <w:t xml:space="preserve"> The acquired aggregate structure with its electronic transitions of the P3HT (NPs) in dispersion is maintained when deposited in the form of films onto substrates.</w:t>
      </w:r>
      <w:r>
        <w:rPr>
          <w:lang w:val="en-GB"/>
        </w:rPr>
        <w:fldChar w:fldCharType="begin"/>
      </w:r>
      <w:r w:rsidR="00E52A95">
        <w:rPr>
          <w:lang w:val="en-GB"/>
        </w:rPr>
        <w:instrText xml:space="preserve"> ADDIN ZOTERO_ITEM CSL_CITATION {"citationID":"vfoSHxU2","properties":{"formattedCitation":"[3]","plainCitation":"[3]","noteIndex":0},"citationItems":[{"id":639,"uris":["http://zotero.org/users/local/zidT4J8u/items/C33X9C2G"],"itemData":{"id":639,"type":"article-journal","archive":"1716","container-title":"Advanced Functional Materials","DOI":"10.1002/adfm.201707548","ISSN":"1616301X","issue":"23","journalAbbreviation":"Adv. Funct. Mater.","language":"en","page":"1707548","source":"DOI.org (Crossref)","title":"Conjugated Polymer Nanoparticle-Graphene Oxide Charge-Transfer Complexes","volume":"28","author":[{"family":"Istif","given":"Emin"},{"family":"Hernández-Ferrer","given":"Javier"},{"family":"Urriolabeitia","given":"Esteban P."},{"family":"Stergiou","given":"Anastasios"},{"family":"Tagmatarchis","given":"Nikos"},{"family":"Fratta","given":"Giuseppe"},{"family":"Large","given":"Matthew J."},{"family":"Dalton","given":"Alan B."},{"family":"Benito","given":"Ana M."},{"family":"Maser","given":"Wolfgang K."}],"issued":{"date-parts":[["2018",6]]}}}],"schema":"https://github.com/citation-style-language/schema/raw/master/csl-citation.json"} </w:instrText>
      </w:r>
      <w:r>
        <w:rPr>
          <w:lang w:val="en-GB"/>
        </w:rPr>
        <w:fldChar w:fldCharType="separate"/>
      </w:r>
      <w:r w:rsidR="00E52A95" w:rsidRPr="00E52A95">
        <w:rPr>
          <w:rFonts w:cs="Times"/>
        </w:rPr>
        <w:t>[3]</w:t>
      </w:r>
      <w:r>
        <w:rPr>
          <w:lang w:val="en-GB"/>
        </w:rPr>
        <w:fldChar w:fldCharType="end"/>
      </w:r>
    </w:p>
    <w:p w14:paraId="1210DA8E" w14:textId="77777777" w:rsidR="00CA5ACB" w:rsidRDefault="00817FD2" w:rsidP="009150C5">
      <w:pPr>
        <w:pStyle w:val="TAMainText"/>
        <w:jc w:val="center"/>
      </w:pPr>
      <w:r>
        <w:rPr>
          <w:noProof/>
          <w:lang w:val="es-ES" w:eastAsia="es-ES"/>
        </w:rPr>
        <w:drawing>
          <wp:inline distT="0" distB="0" distL="0" distR="0" wp14:anchorId="39C067E4" wp14:editId="255E6601">
            <wp:extent cx="3060000" cy="2496578"/>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1.tif"/>
                    <pic:cNvPicPr/>
                  </pic:nvPicPr>
                  <pic:blipFill rotWithShape="1">
                    <a:blip r:embed="rId9" cstate="print">
                      <a:extLst>
                        <a:ext uri="{28A0092B-C50C-407E-A947-70E740481C1C}">
                          <a14:useLocalDpi xmlns:a14="http://schemas.microsoft.com/office/drawing/2010/main" val="0"/>
                        </a:ext>
                      </a:extLst>
                    </a:blip>
                    <a:srcRect l="2884" t="6702" r="9615"/>
                    <a:stretch/>
                  </pic:blipFill>
                  <pic:spPr bwMode="auto">
                    <a:xfrm>
                      <a:off x="0" y="0"/>
                      <a:ext cx="3060000" cy="2496578"/>
                    </a:xfrm>
                    <a:prstGeom prst="rect">
                      <a:avLst/>
                    </a:prstGeom>
                    <a:ln>
                      <a:noFill/>
                    </a:ln>
                    <a:extLst>
                      <a:ext uri="{53640926-AAD7-44D8-BBD7-CCE9431645EC}">
                        <a14:shadowObscured xmlns:a14="http://schemas.microsoft.com/office/drawing/2010/main"/>
                      </a:ext>
                    </a:extLst>
                  </pic:spPr>
                </pic:pic>
              </a:graphicData>
            </a:graphic>
          </wp:inline>
        </w:drawing>
      </w:r>
    </w:p>
    <w:p w14:paraId="2B9D341B" w14:textId="77777777" w:rsidR="00CA5ACB" w:rsidRDefault="00CA5ACB" w:rsidP="00CA5ACB">
      <w:pPr>
        <w:pStyle w:val="VAFigureCaption"/>
      </w:pPr>
      <w:r w:rsidRPr="00ED5012">
        <w:rPr>
          <w:b/>
          <w:bCs/>
        </w:rPr>
        <w:t xml:space="preserve">Figure S1. </w:t>
      </w:r>
      <w:r w:rsidRPr="00ED5012">
        <w:t>Normalized absorbance spectra of P3HT-THF and P3HT-CHCl</w:t>
      </w:r>
      <w:r w:rsidRPr="00ED5012">
        <w:rPr>
          <w:vertAlign w:val="subscript"/>
        </w:rPr>
        <w:t>3</w:t>
      </w:r>
      <w:r w:rsidRPr="00ED5012">
        <w:t xml:space="preserve"> solutions, together with the corresponding nanoparticle-containing P3HT-THF (NP)-H</w:t>
      </w:r>
      <w:r w:rsidRPr="00ED5012">
        <w:rPr>
          <w:vertAlign w:val="subscript"/>
        </w:rPr>
        <w:t>2</w:t>
      </w:r>
      <w:r w:rsidRPr="00ED5012">
        <w:t>O and P3HT-CHCl</w:t>
      </w:r>
      <w:r w:rsidRPr="00ED5012">
        <w:rPr>
          <w:vertAlign w:val="subscript"/>
        </w:rPr>
        <w:t>3</w:t>
      </w:r>
      <w:r w:rsidRPr="00ED5012">
        <w:t>(NP)-EtOH solutions.</w:t>
      </w:r>
    </w:p>
    <w:p w14:paraId="48E4C454" w14:textId="77777777" w:rsidR="00644F63" w:rsidRDefault="00644F63">
      <w:pPr>
        <w:spacing w:after="0"/>
        <w:jc w:val="left"/>
      </w:pPr>
      <w:r>
        <w:br w:type="page"/>
      </w:r>
    </w:p>
    <w:p w14:paraId="0B4CA02A" w14:textId="7EC8BDD3" w:rsidR="00644F63" w:rsidRPr="00644F63" w:rsidRDefault="00644F63" w:rsidP="00644F63">
      <w:pPr>
        <w:pStyle w:val="TAMainText"/>
        <w:rPr>
          <w:b/>
          <w:bCs/>
        </w:rPr>
      </w:pPr>
      <w:r w:rsidRPr="00644F63">
        <w:rPr>
          <w:b/>
          <w:bCs/>
        </w:rPr>
        <w:lastRenderedPageBreak/>
        <w:t xml:space="preserve">S2. </w:t>
      </w:r>
      <w:r w:rsidR="00C320F8">
        <w:rPr>
          <w:b/>
          <w:bCs/>
        </w:rPr>
        <w:t>Redox charge density &amp; thickness</w:t>
      </w:r>
    </w:p>
    <w:p w14:paraId="15A90FFA" w14:textId="77777777" w:rsidR="00644F63" w:rsidRDefault="00644F63" w:rsidP="00644F63">
      <w:pPr>
        <w:pStyle w:val="TAMainText"/>
        <w:ind w:firstLine="0"/>
      </w:pPr>
      <w:r w:rsidRPr="00ED5012">
        <w:t>Figure S2 shows the cyclic voltammograms of the different P3HT film probed for different film thicknesses at a scan rate of 20 mV/s in the potential window from -0.3 to 1.1 V vs. Ag/AgCl reference electrode (RE), calibrated at 0.45 V vs. ferrocene. The surface area exposed to the electrolyte is about 1 cm</w:t>
      </w:r>
      <w:r w:rsidRPr="00ED5012">
        <w:rPr>
          <w:vertAlign w:val="superscript"/>
        </w:rPr>
        <w:t>2</w:t>
      </w:r>
      <w:r w:rsidRPr="00ED5012">
        <w:t>.</w:t>
      </w:r>
    </w:p>
    <w:tbl>
      <w:tblPr>
        <w:tblStyle w:val="Tablaconcuadrcula"/>
        <w:tblW w:w="0" w:type="auto"/>
        <w:tblLook w:val="04A0" w:firstRow="1" w:lastRow="0" w:firstColumn="1" w:lastColumn="0" w:noHBand="0" w:noVBand="1"/>
      </w:tblPr>
      <w:tblGrid>
        <w:gridCol w:w="4751"/>
        <w:gridCol w:w="4751"/>
      </w:tblGrid>
      <w:tr w:rsidR="00966822" w14:paraId="13F53B42" w14:textId="77777777" w:rsidTr="00966822">
        <w:tc>
          <w:tcPr>
            <w:tcW w:w="4675" w:type="dxa"/>
          </w:tcPr>
          <w:p w14:paraId="18FE1BF0" w14:textId="103FEBBE" w:rsidR="00966822" w:rsidRDefault="00966822" w:rsidP="00644F63">
            <w:pPr>
              <w:pStyle w:val="TAMainText"/>
              <w:ind w:firstLine="0"/>
            </w:pPr>
            <w:r>
              <w:rPr>
                <w:noProof/>
                <w:lang w:eastAsia="es-ES"/>
              </w:rPr>
              <w:drawing>
                <wp:inline distT="0" distB="0" distL="0" distR="0" wp14:anchorId="0CA8118C" wp14:editId="06880E14">
                  <wp:extent cx="2880000" cy="2205538"/>
                  <wp:effectExtent l="0" t="0" r="0" b="4445"/>
                  <wp:docPr id="287815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c>
          <w:tcPr>
            <w:tcW w:w="4675" w:type="dxa"/>
          </w:tcPr>
          <w:p w14:paraId="67827CA9" w14:textId="5ABBB5C0" w:rsidR="00966822" w:rsidRDefault="005D4F51" w:rsidP="00644F63">
            <w:pPr>
              <w:pStyle w:val="TAMainText"/>
              <w:ind w:firstLine="0"/>
            </w:pPr>
            <w:r>
              <w:rPr>
                <w:noProof/>
                <w:lang w:eastAsia="es-ES"/>
              </w:rPr>
              <w:drawing>
                <wp:inline distT="0" distB="0" distL="0" distR="0" wp14:anchorId="16BEBBC7" wp14:editId="7897D1F9">
                  <wp:extent cx="2880000" cy="2205538"/>
                  <wp:effectExtent l="0" t="0" r="0" b="4445"/>
                  <wp:docPr id="530493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r>
      <w:tr w:rsidR="00966822" w14:paraId="242EAF40" w14:textId="77777777" w:rsidTr="00966822">
        <w:tc>
          <w:tcPr>
            <w:tcW w:w="4675" w:type="dxa"/>
          </w:tcPr>
          <w:p w14:paraId="41EF20FA" w14:textId="10C1839E" w:rsidR="00966822" w:rsidRDefault="00966822" w:rsidP="00644F63">
            <w:pPr>
              <w:pStyle w:val="TAMainText"/>
              <w:ind w:firstLine="0"/>
            </w:pPr>
            <w:r>
              <w:rPr>
                <w:noProof/>
                <w:lang w:eastAsia="es-ES"/>
              </w:rPr>
              <w:drawing>
                <wp:inline distT="0" distB="0" distL="0" distR="0" wp14:anchorId="31234056" wp14:editId="444AA5DD">
                  <wp:extent cx="2880000" cy="2205538"/>
                  <wp:effectExtent l="0" t="0" r="0" b="4445"/>
                  <wp:docPr id="463806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c>
          <w:tcPr>
            <w:tcW w:w="4675" w:type="dxa"/>
          </w:tcPr>
          <w:p w14:paraId="0DD0F409" w14:textId="21CEA9E2" w:rsidR="00966822" w:rsidRDefault="005D4F51" w:rsidP="00644F63">
            <w:pPr>
              <w:pStyle w:val="TAMainText"/>
              <w:ind w:firstLine="0"/>
            </w:pPr>
            <w:r>
              <w:rPr>
                <w:noProof/>
                <w:lang w:eastAsia="es-ES"/>
              </w:rPr>
              <w:drawing>
                <wp:inline distT="0" distB="0" distL="0" distR="0" wp14:anchorId="7FA9D0EC" wp14:editId="05CBC4A3">
                  <wp:extent cx="2880000" cy="2205538"/>
                  <wp:effectExtent l="0" t="0" r="0" b="4445"/>
                  <wp:docPr id="15331744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r>
      <w:tr w:rsidR="00966822" w14:paraId="64A2A346" w14:textId="77777777" w:rsidTr="00966822">
        <w:tc>
          <w:tcPr>
            <w:tcW w:w="4675" w:type="dxa"/>
          </w:tcPr>
          <w:p w14:paraId="2E05E3A6" w14:textId="09FCF875" w:rsidR="00966822" w:rsidRDefault="00966822" w:rsidP="00644F63">
            <w:pPr>
              <w:pStyle w:val="TAMainText"/>
              <w:ind w:firstLine="0"/>
            </w:pPr>
            <w:r>
              <w:rPr>
                <w:noProof/>
                <w:lang w:eastAsia="es-ES"/>
              </w:rPr>
              <w:lastRenderedPageBreak/>
              <w:drawing>
                <wp:inline distT="0" distB="0" distL="0" distR="0" wp14:anchorId="234C6AA2" wp14:editId="69E3F3F5">
                  <wp:extent cx="2880000" cy="2205538"/>
                  <wp:effectExtent l="0" t="0" r="0" b="4445"/>
                  <wp:docPr id="2088594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c>
          <w:tcPr>
            <w:tcW w:w="4675" w:type="dxa"/>
          </w:tcPr>
          <w:p w14:paraId="32FB1007" w14:textId="4B437D5A" w:rsidR="00966822" w:rsidRDefault="005D4F51" w:rsidP="00644F63">
            <w:pPr>
              <w:pStyle w:val="TAMainText"/>
              <w:ind w:firstLine="0"/>
            </w:pPr>
            <w:r>
              <w:rPr>
                <w:noProof/>
                <w:lang w:eastAsia="es-ES"/>
              </w:rPr>
              <w:drawing>
                <wp:inline distT="0" distB="0" distL="0" distR="0" wp14:anchorId="053F37F4" wp14:editId="63CB9238">
                  <wp:extent cx="2880000" cy="2205538"/>
                  <wp:effectExtent l="0" t="0" r="0" b="4445"/>
                  <wp:docPr id="6404733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r>
      <w:tr w:rsidR="00966822" w14:paraId="0D9977D0" w14:textId="77777777" w:rsidTr="00966822">
        <w:tc>
          <w:tcPr>
            <w:tcW w:w="4675" w:type="dxa"/>
          </w:tcPr>
          <w:p w14:paraId="4E5EA040" w14:textId="651AE32B" w:rsidR="00966822" w:rsidRDefault="00966822" w:rsidP="00644F63">
            <w:pPr>
              <w:pStyle w:val="TAMainText"/>
              <w:ind w:firstLine="0"/>
            </w:pPr>
            <w:r>
              <w:rPr>
                <w:noProof/>
                <w:lang w:eastAsia="es-ES"/>
              </w:rPr>
              <w:drawing>
                <wp:inline distT="0" distB="0" distL="0" distR="0" wp14:anchorId="35D88518" wp14:editId="41DFDF9D">
                  <wp:extent cx="2880000" cy="2205538"/>
                  <wp:effectExtent l="0" t="0" r="0" b="4445"/>
                  <wp:docPr id="12278569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c>
          <w:tcPr>
            <w:tcW w:w="4675" w:type="dxa"/>
          </w:tcPr>
          <w:p w14:paraId="1F369FB4" w14:textId="4814CA10" w:rsidR="00966822" w:rsidRDefault="005D4F51" w:rsidP="00644F63">
            <w:pPr>
              <w:pStyle w:val="TAMainText"/>
              <w:ind w:firstLine="0"/>
            </w:pPr>
            <w:r>
              <w:rPr>
                <w:noProof/>
                <w:lang w:eastAsia="es-ES"/>
              </w:rPr>
              <w:drawing>
                <wp:inline distT="0" distB="0" distL="0" distR="0" wp14:anchorId="784D2B89" wp14:editId="2DEF303B">
                  <wp:extent cx="2880000" cy="2205538"/>
                  <wp:effectExtent l="0" t="0" r="0" b="4445"/>
                  <wp:docPr id="3923272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205538"/>
                          </a:xfrm>
                          <a:prstGeom prst="rect">
                            <a:avLst/>
                          </a:prstGeom>
                          <a:noFill/>
                          <a:ln>
                            <a:noFill/>
                          </a:ln>
                        </pic:spPr>
                      </pic:pic>
                    </a:graphicData>
                  </a:graphic>
                </wp:inline>
              </w:drawing>
            </w:r>
          </w:p>
        </w:tc>
      </w:tr>
    </w:tbl>
    <w:p w14:paraId="1A7668BD" w14:textId="77777777" w:rsidR="00966822" w:rsidRPr="00ED5012" w:rsidRDefault="00966822" w:rsidP="00644F63">
      <w:pPr>
        <w:pStyle w:val="TAMainText"/>
        <w:ind w:firstLine="0"/>
      </w:pPr>
    </w:p>
    <w:p w14:paraId="11D69D73" w14:textId="38BF1A80" w:rsidR="00644F63" w:rsidRDefault="00644F63" w:rsidP="00BA0A12">
      <w:pPr>
        <w:jc w:val="center"/>
      </w:pPr>
    </w:p>
    <w:p w14:paraId="7162FE05" w14:textId="32A5555E" w:rsidR="00644F63" w:rsidRDefault="00644F63" w:rsidP="00644F63">
      <w:pPr>
        <w:pStyle w:val="VAFigureCaption"/>
      </w:pPr>
      <w:r w:rsidRPr="00ED5012">
        <w:rPr>
          <w:b/>
          <w:bCs/>
        </w:rPr>
        <w:t>Figure S2</w:t>
      </w:r>
      <w:r w:rsidRPr="00ED5012">
        <w:t xml:space="preserve">. Cyclic </w:t>
      </w:r>
      <w:proofErr w:type="spellStart"/>
      <w:r w:rsidRPr="00ED5012">
        <w:t>voltamogramms</w:t>
      </w:r>
      <w:proofErr w:type="spellEnd"/>
      <w:r w:rsidRPr="00ED5012">
        <w:t xml:space="preserve"> of the different P3HT film series with different film thicknesses (indicated by different colors) taken at a scan rate of 20 mV/s. A) P3HT-CHCl</w:t>
      </w:r>
      <w:r w:rsidRPr="00ED5012">
        <w:rPr>
          <w:vertAlign w:val="subscript"/>
        </w:rPr>
        <w:t>3</w:t>
      </w:r>
      <w:r w:rsidRPr="00ED5012">
        <w:t xml:space="preserve"> B) P3HT-THF C) P3HT-CHCl</w:t>
      </w:r>
      <w:r w:rsidRPr="00ED5012">
        <w:rPr>
          <w:vertAlign w:val="subscript"/>
        </w:rPr>
        <w:t>3</w:t>
      </w:r>
      <w:r w:rsidRPr="00ED5012">
        <w:t xml:space="preserve">(NP) D) P3HT-THF(NP). </w:t>
      </w:r>
      <w:r w:rsidR="00966822">
        <w:t>Respective figures E), F</w:t>
      </w:r>
      <w:proofErr w:type="gramStart"/>
      <w:r w:rsidR="00966822">
        <w:t>) ,</w:t>
      </w:r>
      <w:proofErr w:type="gramEnd"/>
      <w:r w:rsidR="00966822">
        <w:t>G) and H) represent the linear relations found between resulting redox charge densities and measured thicknesses</w:t>
      </w:r>
      <w:r w:rsidR="00A27949">
        <w:t xml:space="preserve"> </w:t>
      </w:r>
      <w:r w:rsidR="00A27949" w:rsidRPr="000C68B9">
        <w:t>(colors of each film thickness according to the corresponding cyclic voltammogram).</w:t>
      </w:r>
    </w:p>
    <w:p w14:paraId="6D02A3F4" w14:textId="77777777" w:rsidR="00F348CD" w:rsidRDefault="00644F63" w:rsidP="008879CB">
      <w:pPr>
        <w:pStyle w:val="TAMainText"/>
        <w:ind w:firstLine="0"/>
      </w:pPr>
      <w:r w:rsidRPr="00ED5012">
        <w:t>Redox charge density values in units of mCcm</w:t>
      </w:r>
      <w:r w:rsidRPr="00ED5012">
        <w:rPr>
          <w:vertAlign w:val="superscript"/>
        </w:rPr>
        <w:t>-2</w:t>
      </w:r>
      <w:r w:rsidRPr="00ED5012">
        <w:t xml:space="preserve"> are calculated by the integration of the anodic and cathodic CV curves for each thickness followed by dividing the obtained values by the scan rate and the probed surface area.</w:t>
      </w:r>
    </w:p>
    <w:p w14:paraId="1958C6CC" w14:textId="03BAB7B5" w:rsidR="00F348CD" w:rsidRPr="00644F63" w:rsidRDefault="00F348CD" w:rsidP="00F348CD">
      <w:pPr>
        <w:pStyle w:val="TAMainText"/>
        <w:rPr>
          <w:b/>
          <w:bCs/>
        </w:rPr>
      </w:pPr>
      <w:r w:rsidRPr="00644F63">
        <w:rPr>
          <w:b/>
          <w:bCs/>
        </w:rPr>
        <w:lastRenderedPageBreak/>
        <w:t>S</w:t>
      </w:r>
      <w:r>
        <w:rPr>
          <w:b/>
          <w:bCs/>
        </w:rPr>
        <w:t>3.</w:t>
      </w:r>
      <w:r w:rsidRPr="00644F63">
        <w:rPr>
          <w:b/>
          <w:bCs/>
        </w:rPr>
        <w:t xml:space="preserve"> Stationary Transmittance</w:t>
      </w:r>
    </w:p>
    <w:p w14:paraId="7DCF3D06" w14:textId="337F88FE" w:rsidR="00F348CD" w:rsidRDefault="00F348CD" w:rsidP="00F348CD">
      <w:pPr>
        <w:pStyle w:val="TAMainText"/>
        <w:ind w:firstLine="0"/>
        <w:rPr>
          <w:rFonts w:ascii="Times New Roman" w:hAnsi="Times New Roman"/>
          <w:szCs w:val="24"/>
        </w:rPr>
      </w:pPr>
      <w:r w:rsidRPr="00ED5012">
        <w:rPr>
          <w:rFonts w:ascii="Times New Roman" w:hAnsi="Times New Roman"/>
          <w:szCs w:val="24"/>
        </w:rPr>
        <w:t>Figure S4 show the stationary transmittance curves of the P3HT film series taken at 520 nm in the oxidized and neutral state as a function of the calculated redox charge densities. Experimental data points are fitted by exponential decay functions. The P3HT film series show similar transmittance curves in the oxidized state (Figure S</w:t>
      </w:r>
      <w:r>
        <w:rPr>
          <w:rFonts w:ascii="Times New Roman" w:hAnsi="Times New Roman"/>
          <w:szCs w:val="24"/>
        </w:rPr>
        <w:t>3</w:t>
      </w:r>
      <w:r w:rsidRPr="00ED5012">
        <w:rPr>
          <w:rFonts w:ascii="Times New Roman" w:hAnsi="Times New Roman"/>
          <w:szCs w:val="24"/>
        </w:rPr>
        <w:t>A), while those in the neutral state (Figure S</w:t>
      </w:r>
      <w:r>
        <w:rPr>
          <w:rFonts w:ascii="Times New Roman" w:hAnsi="Times New Roman"/>
          <w:szCs w:val="24"/>
        </w:rPr>
        <w:t>3B</w:t>
      </w:r>
      <w:r w:rsidRPr="00ED5012">
        <w:rPr>
          <w:rFonts w:ascii="Times New Roman" w:hAnsi="Times New Roman"/>
          <w:szCs w:val="24"/>
        </w:rPr>
        <w:t xml:space="preserve">) exhibit larger deviations. The difference between transmittance values in the oxidized and neutral state then provides the contrast curve as a function of the redox charge density as shown in Figure </w:t>
      </w:r>
      <w:r>
        <w:rPr>
          <w:rFonts w:ascii="Times New Roman" w:hAnsi="Times New Roman"/>
          <w:szCs w:val="24"/>
        </w:rPr>
        <w:t>2</w:t>
      </w:r>
      <w:r w:rsidRPr="00ED5012">
        <w:rPr>
          <w:rFonts w:ascii="Times New Roman" w:hAnsi="Times New Roman"/>
          <w:szCs w:val="24"/>
        </w:rPr>
        <w:t xml:space="preserve"> of the main manuscript.</w:t>
      </w:r>
    </w:p>
    <w:p w14:paraId="126502DF" w14:textId="77777777" w:rsidR="00F348CD" w:rsidRDefault="00F348CD" w:rsidP="00F348CD">
      <w:pPr>
        <w:pStyle w:val="VAFigureCaption"/>
        <w:jc w:val="center"/>
        <w:rPr>
          <w:b/>
          <w:bCs/>
        </w:rPr>
      </w:pPr>
      <w:r>
        <w:rPr>
          <w:b/>
          <w:bCs/>
          <w:noProof/>
          <w:lang w:val="es-ES" w:eastAsia="es-ES"/>
        </w:rPr>
        <w:drawing>
          <wp:inline distT="0" distB="0" distL="0" distR="0" wp14:anchorId="4528C6A7" wp14:editId="4859CD15">
            <wp:extent cx="5943600" cy="2449195"/>
            <wp:effectExtent l="0" t="0" r="0" b="8255"/>
            <wp:docPr id="7" name="Imagen 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dispers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49195"/>
                    </a:xfrm>
                    <a:prstGeom prst="rect">
                      <a:avLst/>
                    </a:prstGeom>
                  </pic:spPr>
                </pic:pic>
              </a:graphicData>
            </a:graphic>
          </wp:inline>
        </w:drawing>
      </w:r>
    </w:p>
    <w:p w14:paraId="482BE9DF" w14:textId="3EB74380" w:rsidR="00F348CD" w:rsidRDefault="00F348CD" w:rsidP="00F348CD">
      <w:pPr>
        <w:pStyle w:val="VAFigureCaption"/>
      </w:pPr>
      <w:r w:rsidRPr="00ED5012">
        <w:rPr>
          <w:b/>
          <w:bCs/>
        </w:rPr>
        <w:t>Figure S</w:t>
      </w:r>
      <w:r>
        <w:rPr>
          <w:b/>
          <w:bCs/>
        </w:rPr>
        <w:t>3</w:t>
      </w:r>
      <w:r w:rsidRPr="00ED5012">
        <w:t xml:space="preserve">. Transmittance values at 520 nm for the P3HT film series taken in their A) oxidized transparent states and B) neutral colored states as a function of the calculated redox charge density. Symbols represent experimental data points. Lines represent the fitted curves according to </w:t>
      </w:r>
      <w:r>
        <w:t>exponential decay functions</w:t>
      </w:r>
      <w:r w:rsidRPr="00ED5012">
        <w:t>. Regression coefficients r</w:t>
      </w:r>
      <w:r w:rsidRPr="00ED5012">
        <w:rPr>
          <w:vertAlign w:val="superscript"/>
        </w:rPr>
        <w:t>2</w:t>
      </w:r>
      <w:r w:rsidRPr="00ED5012">
        <w:t xml:space="preserve"> are indicated for all the film series.</w:t>
      </w:r>
    </w:p>
    <w:p w14:paraId="7DB7FD53" w14:textId="57B7E714" w:rsidR="00644F63" w:rsidRDefault="00F348CD" w:rsidP="00F348CD">
      <w:pPr>
        <w:pStyle w:val="TAMainText"/>
        <w:ind w:firstLine="0"/>
      </w:pPr>
      <w:r w:rsidRPr="00594371">
        <w:t>The transmittance curve for P3HT-CHCl</w:t>
      </w:r>
      <w:r w:rsidRPr="008879CB">
        <w:rPr>
          <w:vertAlign w:val="subscript"/>
        </w:rPr>
        <w:t>3</w:t>
      </w:r>
      <w:r w:rsidRPr="00594371">
        <w:t xml:space="preserve"> in the neutral state not only shows overall higher transmittance values but also its exponential fitting curve with lowest regression coefficient strongly deviates from the behavior of all the other films. The different and rather poor </w:t>
      </w:r>
      <w:r w:rsidRPr="00594371">
        <w:lastRenderedPageBreak/>
        <w:t xml:space="preserve">transmittance behavior reflects the non-continuous island-like coating of the ITO substrate obtained for this sample by the employed spray-coating process, as demonstrated by the SEM and profilometry results in the main manuscript (Figure </w:t>
      </w:r>
      <w:r>
        <w:t>5</w:t>
      </w:r>
      <w:r w:rsidRPr="00594371">
        <w:t xml:space="preserve">D and </w:t>
      </w:r>
      <w:r>
        <w:t>6</w:t>
      </w:r>
      <w:r w:rsidRPr="00594371">
        <w:t>D, respectively). The poor transmittance behavior of the spray-coated P3HT-CHCl</w:t>
      </w:r>
      <w:r w:rsidRPr="007F06CC">
        <w:rPr>
          <w:vertAlign w:val="subscript"/>
        </w:rPr>
        <w:t>3</w:t>
      </w:r>
      <w:r w:rsidRPr="00594371">
        <w:t xml:space="preserve"> sample in the neutral state thus accounts for the largely different contrast behavior compared to the other P3HT samples, with an apparent shift of the optimum contrast range towards rather high, i.e. out-of-range redox charge density values, as a consequence of unsatisfying fitting results. </w:t>
      </w:r>
      <w:r w:rsidR="00644F63">
        <w:br w:type="page"/>
      </w:r>
    </w:p>
    <w:p w14:paraId="167E4E91" w14:textId="13A3F66C" w:rsidR="00644F63" w:rsidRPr="00644F63" w:rsidRDefault="00644F63" w:rsidP="00644F63">
      <w:pPr>
        <w:pStyle w:val="TAMainText"/>
        <w:rPr>
          <w:b/>
          <w:bCs/>
        </w:rPr>
      </w:pPr>
      <w:r w:rsidRPr="00644F63">
        <w:rPr>
          <w:b/>
          <w:bCs/>
        </w:rPr>
        <w:lastRenderedPageBreak/>
        <w:t>S</w:t>
      </w:r>
      <w:r w:rsidR="00F348CD">
        <w:rPr>
          <w:b/>
          <w:bCs/>
        </w:rPr>
        <w:t>4</w:t>
      </w:r>
      <w:r w:rsidRPr="00644F63">
        <w:rPr>
          <w:b/>
          <w:bCs/>
        </w:rPr>
        <w:t>. Transmittance spectra</w:t>
      </w:r>
    </w:p>
    <w:p w14:paraId="0698DC6F" w14:textId="14314F19" w:rsidR="00644F63" w:rsidRPr="00ED5012" w:rsidRDefault="00644F63" w:rsidP="00644F63">
      <w:pPr>
        <w:pStyle w:val="TAMainText"/>
        <w:ind w:firstLine="0"/>
      </w:pPr>
      <w:r w:rsidRPr="00ED5012">
        <w:t xml:space="preserve">Figure </w:t>
      </w:r>
      <w:r w:rsidR="00F348CD" w:rsidRPr="00ED5012">
        <w:t>S</w:t>
      </w:r>
      <w:r w:rsidR="00F348CD">
        <w:t>4</w:t>
      </w:r>
      <w:r w:rsidR="00F348CD" w:rsidRPr="00ED5012">
        <w:t xml:space="preserve"> </w:t>
      </w:r>
      <w:r w:rsidRPr="00ED5012">
        <w:t>shows the transmittance spectra of P3HT-THF film acquired in its neutral and oxidized states, reflecting its magenta and transparent pale blue colors, respectively. The transmittance minimum is obtained at 520 nm for the neutral state and provides the reference value at which maximum contrast, i.e. transmittance differences between the oxidized and neutral state is calculated for the different P3HT film series.</w:t>
      </w:r>
    </w:p>
    <w:p w14:paraId="314D33F0" w14:textId="480817A1" w:rsidR="009150C5" w:rsidRDefault="001725A9" w:rsidP="009150C5">
      <w:pPr>
        <w:pStyle w:val="VAFigureCaption"/>
        <w:jc w:val="center"/>
        <w:rPr>
          <w:b/>
          <w:bCs/>
          <w:noProof/>
        </w:rPr>
      </w:pPr>
      <w:r>
        <w:rPr>
          <w:noProof/>
          <w:lang w:val="es-ES" w:eastAsia="es-ES"/>
        </w:rPr>
        <w:drawing>
          <wp:inline distT="0" distB="0" distL="0" distR="0" wp14:anchorId="0DE825BE" wp14:editId="6610DE05">
            <wp:extent cx="3600000" cy="2705769"/>
            <wp:effectExtent l="0" t="0" r="635" b="0"/>
            <wp:docPr id="1227856571"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56571" name="Imagen 5" descr="Gráfico, Gráfico de línea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5769"/>
                    </a:xfrm>
                    <a:prstGeom prst="rect">
                      <a:avLst/>
                    </a:prstGeom>
                    <a:noFill/>
                    <a:ln>
                      <a:noFill/>
                    </a:ln>
                  </pic:spPr>
                </pic:pic>
              </a:graphicData>
            </a:graphic>
          </wp:inline>
        </w:drawing>
      </w:r>
    </w:p>
    <w:p w14:paraId="79CE5F11" w14:textId="42B43EF5" w:rsidR="00644F63" w:rsidRDefault="00644F63" w:rsidP="00644F63">
      <w:pPr>
        <w:pStyle w:val="VAFigureCaption"/>
        <w:rPr>
          <w:noProof/>
        </w:rPr>
      </w:pPr>
      <w:r w:rsidRPr="00ED5012">
        <w:rPr>
          <w:b/>
          <w:bCs/>
          <w:noProof/>
        </w:rPr>
        <w:t>Figure S</w:t>
      </w:r>
      <w:r w:rsidR="00F348CD">
        <w:rPr>
          <w:b/>
          <w:bCs/>
          <w:noProof/>
        </w:rPr>
        <w:t>4</w:t>
      </w:r>
      <w:r w:rsidRPr="00ED5012">
        <w:rPr>
          <w:noProof/>
        </w:rPr>
        <w:t>. Transmittance spectra of a P3HT film in its neutral and oxidized states.</w:t>
      </w:r>
    </w:p>
    <w:p w14:paraId="7D220A0E" w14:textId="77777777" w:rsidR="00644F63" w:rsidRDefault="00644F63">
      <w:pPr>
        <w:spacing w:after="0"/>
        <w:jc w:val="left"/>
      </w:pPr>
      <w:r>
        <w:br w:type="page"/>
      </w:r>
    </w:p>
    <w:p w14:paraId="3D0D2FA7" w14:textId="17E024C8" w:rsidR="00594371" w:rsidRDefault="00594371" w:rsidP="00594371">
      <w:pPr>
        <w:pStyle w:val="TAMainText"/>
      </w:pPr>
    </w:p>
    <w:p w14:paraId="3DE9E51F" w14:textId="77777777" w:rsidR="00594371" w:rsidRPr="00594371" w:rsidRDefault="00594371" w:rsidP="00594371">
      <w:pPr>
        <w:pStyle w:val="TAMainText"/>
        <w:rPr>
          <w:b/>
          <w:bCs/>
        </w:rPr>
      </w:pPr>
      <w:r w:rsidRPr="00594371">
        <w:rPr>
          <w:b/>
          <w:bCs/>
        </w:rPr>
        <w:t>S5. Switching speed</w:t>
      </w:r>
    </w:p>
    <w:p w14:paraId="5107ACBA" w14:textId="77777777" w:rsidR="00594371" w:rsidRDefault="00594371" w:rsidP="00594371">
      <w:pPr>
        <w:pStyle w:val="TAMainText"/>
        <w:ind w:firstLine="0"/>
        <w:rPr>
          <w:rFonts w:ascii="Times New Roman" w:hAnsi="Times New Roman"/>
          <w:b/>
          <w:szCs w:val="24"/>
        </w:rPr>
      </w:pPr>
      <w:bookmarkStart w:id="1" w:name="_Hlk136005211"/>
      <w:r>
        <w:rPr>
          <w:rFonts w:ascii="Times New Roman" w:hAnsi="Times New Roman"/>
          <w:bCs/>
          <w:szCs w:val="24"/>
        </w:rPr>
        <w:t>The switching speed of the P3HT films has been determined following the experimental procedure described in the experimental section of the main manuscript. Here t</w:t>
      </w:r>
      <w:r w:rsidRPr="00E70028">
        <w:rPr>
          <w:rFonts w:ascii="Times New Roman" w:hAnsi="Times New Roman"/>
          <w:bCs/>
          <w:szCs w:val="24"/>
        </w:rPr>
        <w:t>he film</w:t>
      </w:r>
      <w:r>
        <w:rPr>
          <w:rFonts w:ascii="Times New Roman" w:hAnsi="Times New Roman"/>
          <w:bCs/>
          <w:szCs w:val="24"/>
        </w:rPr>
        <w:t>s are</w:t>
      </w:r>
      <w:r w:rsidRPr="00E70028">
        <w:rPr>
          <w:rFonts w:ascii="Times New Roman" w:hAnsi="Times New Roman"/>
          <w:bCs/>
          <w:szCs w:val="24"/>
        </w:rPr>
        <w:t xml:space="preserve"> submitted to potential steps of variable pulse lengths</w:t>
      </w:r>
      <w:r>
        <w:rPr>
          <w:rFonts w:ascii="Times New Roman" w:hAnsi="Times New Roman"/>
          <w:bCs/>
          <w:szCs w:val="24"/>
        </w:rPr>
        <w:t xml:space="preserve"> of </w:t>
      </w:r>
      <w:r w:rsidRPr="00A448D7">
        <w:rPr>
          <w:rFonts w:ascii="Times New Roman" w:hAnsi="Times New Roman"/>
          <w:bCs/>
          <w:color w:val="000000"/>
          <w:szCs w:val="24"/>
          <w:shd w:val="clear" w:color="auto" w:fill="FFFFFF"/>
        </w:rPr>
        <w:t xml:space="preserve">15, 10, 5, 2, 1, 0.5 and 0.25 s </w:t>
      </w:r>
      <w:r w:rsidRPr="00A448D7">
        <w:rPr>
          <w:rFonts w:ascii="Times New Roman" w:hAnsi="Times New Roman"/>
          <w:bCs/>
          <w:szCs w:val="24"/>
        </w:rPr>
        <w:t>between</w:t>
      </w:r>
      <w:r>
        <w:rPr>
          <w:rFonts w:ascii="Times New Roman" w:hAnsi="Times New Roman"/>
          <w:bCs/>
          <w:szCs w:val="24"/>
        </w:rPr>
        <w:t xml:space="preserve"> </w:t>
      </w:r>
      <w:r w:rsidRPr="00A448D7">
        <w:rPr>
          <w:rFonts w:ascii="Times New Roman" w:hAnsi="Times New Roman"/>
          <w:bCs/>
          <w:szCs w:val="24"/>
        </w:rPr>
        <w:t xml:space="preserve">-0.3 </w:t>
      </w:r>
      <w:r w:rsidRPr="000D2663">
        <w:rPr>
          <w:rFonts w:ascii="Times New Roman" w:hAnsi="Times New Roman"/>
          <w:bCs/>
          <w:szCs w:val="24"/>
        </w:rPr>
        <w:t xml:space="preserve">and 1.1 V. </w:t>
      </w:r>
      <w:r w:rsidRPr="000D2663">
        <w:rPr>
          <w:rFonts w:ascii="Times New Roman" w:hAnsi="Times New Roman"/>
          <w:bCs/>
          <w:szCs w:val="24"/>
          <w:shd w:val="clear" w:color="auto" w:fill="FFFFFF"/>
        </w:rPr>
        <w:t xml:space="preserve">A representative case study for a P3HT-THF film is depicted in Figure S5. </w:t>
      </w:r>
    </w:p>
    <w:bookmarkEnd w:id="1"/>
    <w:p w14:paraId="2E7A4CF0" w14:textId="77777777" w:rsidR="00B5256D" w:rsidRDefault="00817FD2" w:rsidP="00B5256D">
      <w:pPr>
        <w:pStyle w:val="VAFigureCaption"/>
        <w:jc w:val="center"/>
        <w:rPr>
          <w:b/>
        </w:rPr>
      </w:pPr>
      <w:r>
        <w:rPr>
          <w:b/>
          <w:noProof/>
          <w:lang w:val="es-ES" w:eastAsia="es-ES"/>
        </w:rPr>
        <w:drawing>
          <wp:inline distT="0" distB="0" distL="0" distR="0" wp14:anchorId="780B488D" wp14:editId="63EB526A">
            <wp:extent cx="5943600" cy="24885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5-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488565"/>
                    </a:xfrm>
                    <a:prstGeom prst="rect">
                      <a:avLst/>
                    </a:prstGeom>
                  </pic:spPr>
                </pic:pic>
              </a:graphicData>
            </a:graphic>
          </wp:inline>
        </w:drawing>
      </w:r>
    </w:p>
    <w:p w14:paraId="24E66636" w14:textId="77777777" w:rsidR="00817FD2" w:rsidRDefault="00594371" w:rsidP="00B5256D">
      <w:pPr>
        <w:pStyle w:val="VAFigureCaption"/>
        <w:rPr>
          <w:shd w:val="clear" w:color="auto" w:fill="FFFFFF"/>
        </w:rPr>
      </w:pPr>
      <w:r>
        <w:rPr>
          <w:b/>
        </w:rPr>
        <w:t xml:space="preserve">Figure S5. </w:t>
      </w:r>
      <w:r w:rsidRPr="00F779C1">
        <w:t xml:space="preserve">A) </w:t>
      </w:r>
      <w:r>
        <w:t xml:space="preserve">Transmittance vs. time </w:t>
      </w:r>
      <w:r w:rsidRPr="00E70028">
        <w:t xml:space="preserve">plot </w:t>
      </w:r>
      <w:r w:rsidRPr="000D2663">
        <w:rPr>
          <w:shd w:val="clear" w:color="auto" w:fill="FFFFFF"/>
        </w:rPr>
        <w:t>a P3HT-THF</w:t>
      </w:r>
      <w:r>
        <w:rPr>
          <w:shd w:val="clear" w:color="auto" w:fill="FFFFFF"/>
        </w:rPr>
        <w:t xml:space="preserve"> film</w:t>
      </w:r>
      <w:r w:rsidRPr="00F779C1">
        <w:t>.</w:t>
      </w:r>
      <w:r w:rsidRPr="00A448D7">
        <w:rPr>
          <w:shd w:val="clear" w:color="auto" w:fill="FFFFFF"/>
        </w:rPr>
        <w:t xml:space="preserve"> B) Contrast vs. pulse length </w:t>
      </w:r>
      <w:r>
        <w:rPr>
          <w:shd w:val="clear" w:color="auto" w:fill="FFFFFF"/>
        </w:rPr>
        <w:t>extracted from the previous data</w:t>
      </w:r>
      <w:r w:rsidRPr="00A448D7">
        <w:rPr>
          <w:shd w:val="clear" w:color="auto" w:fill="FFFFFF"/>
        </w:rPr>
        <w:t xml:space="preserve"> and corresponding fitting function from </w:t>
      </w:r>
      <w:r>
        <w:rPr>
          <w:shd w:val="clear" w:color="auto" w:fill="FFFFFF"/>
        </w:rPr>
        <w:t>which</w:t>
      </w:r>
      <w:r w:rsidRPr="00A448D7">
        <w:rPr>
          <w:shd w:val="clear" w:color="auto" w:fill="FFFFFF"/>
        </w:rPr>
        <w:t xml:space="preserve"> </w:t>
      </w:r>
      <w:r w:rsidRPr="00A448D7">
        <w:rPr>
          <w:rFonts w:ascii="Symbol" w:hAnsi="Symbol"/>
          <w:shd w:val="clear" w:color="auto" w:fill="FFFFFF"/>
        </w:rPr>
        <w:t></w:t>
      </w:r>
      <w:r w:rsidRPr="00A448D7">
        <w:rPr>
          <w:shd w:val="clear" w:color="auto" w:fill="FFFFFF"/>
        </w:rPr>
        <w:t xml:space="preserve"> values can be obtained.</w:t>
      </w:r>
    </w:p>
    <w:p w14:paraId="35EBE2FC" w14:textId="77777777" w:rsidR="00594371" w:rsidRDefault="00594371" w:rsidP="00B5256D">
      <w:pPr>
        <w:pStyle w:val="VAFigureCaption"/>
      </w:pPr>
      <w:r>
        <w:br w:type="page"/>
      </w:r>
    </w:p>
    <w:p w14:paraId="356FAE52" w14:textId="77777777" w:rsidR="00594371" w:rsidRPr="00594371" w:rsidRDefault="00594371" w:rsidP="00594371">
      <w:pPr>
        <w:pStyle w:val="TAMainText"/>
        <w:rPr>
          <w:b/>
          <w:bCs/>
        </w:rPr>
      </w:pPr>
      <w:r w:rsidRPr="00594371">
        <w:rPr>
          <w:b/>
          <w:bCs/>
        </w:rPr>
        <w:lastRenderedPageBreak/>
        <w:t>S6. Cycling stability</w:t>
      </w:r>
    </w:p>
    <w:p w14:paraId="187F524A" w14:textId="77777777" w:rsidR="00594371" w:rsidRPr="000D2663" w:rsidRDefault="00594371" w:rsidP="00594371">
      <w:pPr>
        <w:pStyle w:val="TAMainText"/>
        <w:ind w:firstLine="0"/>
        <w:rPr>
          <w:rFonts w:ascii="Times New Roman" w:hAnsi="Times New Roman"/>
          <w:b/>
          <w:szCs w:val="24"/>
        </w:rPr>
      </w:pPr>
      <w:r>
        <w:rPr>
          <w:rFonts w:ascii="Times New Roman" w:hAnsi="Times New Roman"/>
          <w:bCs/>
          <w:szCs w:val="24"/>
        </w:rPr>
        <w:t>The cycling stability of the P3HT films has been determined following the experimental procedure described in the experimental section of the main manuscript. Here t</w:t>
      </w:r>
      <w:r w:rsidRPr="00E70028">
        <w:rPr>
          <w:rFonts w:ascii="Times New Roman" w:hAnsi="Times New Roman"/>
          <w:bCs/>
          <w:szCs w:val="24"/>
        </w:rPr>
        <w:t>he film</w:t>
      </w:r>
      <w:r>
        <w:rPr>
          <w:rFonts w:ascii="Times New Roman" w:hAnsi="Times New Roman"/>
          <w:bCs/>
          <w:szCs w:val="24"/>
        </w:rPr>
        <w:t>s are</w:t>
      </w:r>
      <w:r w:rsidRPr="00E70028">
        <w:rPr>
          <w:rFonts w:ascii="Times New Roman" w:hAnsi="Times New Roman"/>
          <w:bCs/>
          <w:szCs w:val="24"/>
        </w:rPr>
        <w:t xml:space="preserve"> submitted to </w:t>
      </w:r>
      <w:r>
        <w:rPr>
          <w:rFonts w:ascii="Times New Roman" w:hAnsi="Times New Roman"/>
          <w:bCs/>
          <w:szCs w:val="24"/>
        </w:rPr>
        <w:t xml:space="preserve">a number of </w:t>
      </w:r>
      <w:r w:rsidRPr="00E70028">
        <w:rPr>
          <w:rFonts w:ascii="Times New Roman" w:hAnsi="Times New Roman"/>
          <w:bCs/>
          <w:szCs w:val="24"/>
        </w:rPr>
        <w:t>potential steps</w:t>
      </w:r>
      <w:r w:rsidRPr="00A448D7">
        <w:rPr>
          <w:rFonts w:ascii="Times New Roman" w:hAnsi="Times New Roman"/>
          <w:bCs/>
          <w:color w:val="000000"/>
          <w:szCs w:val="24"/>
          <w:shd w:val="clear" w:color="auto" w:fill="FFFFFF"/>
        </w:rPr>
        <w:t xml:space="preserve"> </w:t>
      </w:r>
      <w:r w:rsidRPr="00A448D7">
        <w:rPr>
          <w:rFonts w:ascii="Times New Roman" w:hAnsi="Times New Roman"/>
          <w:bCs/>
          <w:szCs w:val="24"/>
        </w:rPr>
        <w:t>between -0.3 and 1.1 V</w:t>
      </w:r>
      <w:r>
        <w:rPr>
          <w:rFonts w:ascii="Times New Roman" w:hAnsi="Times New Roman"/>
          <w:bCs/>
          <w:szCs w:val="24"/>
        </w:rPr>
        <w:t xml:space="preserve">: 300 cycles of 10 s for each step </w:t>
      </w:r>
      <w:r w:rsidRPr="00A448D7">
        <w:rPr>
          <w:rFonts w:ascii="Times New Roman" w:hAnsi="Times New Roman"/>
          <w:bCs/>
          <w:color w:val="000000"/>
          <w:szCs w:val="24"/>
          <w:shd w:val="clear" w:color="auto" w:fill="FFFFFF"/>
        </w:rPr>
        <w:t>were applied</w:t>
      </w:r>
      <w:r>
        <w:rPr>
          <w:rFonts w:ascii="Times New Roman" w:hAnsi="Times New Roman"/>
          <w:bCs/>
          <w:color w:val="000000"/>
          <w:szCs w:val="24"/>
          <w:shd w:val="clear" w:color="auto" w:fill="FFFFFF"/>
        </w:rPr>
        <w:t xml:space="preserve">. A representative case study for </w:t>
      </w:r>
      <w:r w:rsidRPr="000D2663">
        <w:rPr>
          <w:rFonts w:ascii="Times New Roman" w:hAnsi="Times New Roman"/>
          <w:bCs/>
          <w:szCs w:val="24"/>
          <w:shd w:val="clear" w:color="auto" w:fill="FFFFFF"/>
        </w:rPr>
        <w:t>a P3HT-THF</w:t>
      </w:r>
      <w:r>
        <w:rPr>
          <w:rFonts w:ascii="Times New Roman" w:hAnsi="Times New Roman"/>
          <w:bCs/>
          <w:color w:val="000000"/>
          <w:szCs w:val="24"/>
          <w:shd w:val="clear" w:color="auto" w:fill="FFFFFF"/>
        </w:rPr>
        <w:t xml:space="preserve"> film is depicted in Figure S6. </w:t>
      </w:r>
    </w:p>
    <w:p w14:paraId="678493D5" w14:textId="77777777" w:rsidR="00B5256D" w:rsidRDefault="00817FD2" w:rsidP="00817FD2">
      <w:pPr>
        <w:pStyle w:val="VAFigureCaption"/>
        <w:jc w:val="center"/>
        <w:rPr>
          <w:b/>
        </w:rPr>
      </w:pPr>
      <w:r>
        <w:rPr>
          <w:b/>
          <w:noProof/>
          <w:lang w:val="es-ES" w:eastAsia="es-ES"/>
        </w:rPr>
        <w:drawing>
          <wp:inline distT="0" distB="0" distL="0" distR="0" wp14:anchorId="55C59CD3" wp14:editId="191E2F35">
            <wp:extent cx="5943600" cy="24631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6-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463165"/>
                    </a:xfrm>
                    <a:prstGeom prst="rect">
                      <a:avLst/>
                    </a:prstGeom>
                  </pic:spPr>
                </pic:pic>
              </a:graphicData>
            </a:graphic>
          </wp:inline>
        </w:drawing>
      </w:r>
    </w:p>
    <w:p w14:paraId="64283FFF" w14:textId="0CEFD617" w:rsidR="00594371" w:rsidRDefault="00594371" w:rsidP="00B5256D">
      <w:pPr>
        <w:pStyle w:val="VAFigureCaption"/>
        <w:rPr>
          <w:shd w:val="clear" w:color="auto" w:fill="FFFFFF"/>
        </w:rPr>
      </w:pPr>
      <w:r>
        <w:rPr>
          <w:b/>
        </w:rPr>
        <w:t xml:space="preserve">Figure S6. </w:t>
      </w:r>
      <w:r w:rsidRPr="00E70028">
        <w:t xml:space="preserve">A) </w:t>
      </w:r>
      <w:r>
        <w:t xml:space="preserve">Transmittance vs. time </w:t>
      </w:r>
      <w:r w:rsidRPr="00E70028">
        <w:t xml:space="preserve">plot </w:t>
      </w:r>
      <w:r>
        <w:t xml:space="preserve">for </w:t>
      </w:r>
      <w:r w:rsidRPr="000D2663">
        <w:rPr>
          <w:shd w:val="clear" w:color="auto" w:fill="FFFFFF"/>
        </w:rPr>
        <w:t>a P3HT-THF</w:t>
      </w:r>
      <w:r>
        <w:rPr>
          <w:shd w:val="clear" w:color="auto" w:fill="FFFFFF"/>
        </w:rPr>
        <w:t xml:space="preserve"> film</w:t>
      </w:r>
      <w:r w:rsidRPr="00A448D7">
        <w:rPr>
          <w:shd w:val="clear" w:color="auto" w:fill="FFFFFF"/>
        </w:rPr>
        <w:t xml:space="preserve">. B) Contrast vs. </w:t>
      </w:r>
      <w:r>
        <w:rPr>
          <w:shd w:val="clear" w:color="auto" w:fill="FFFFFF"/>
        </w:rPr>
        <w:t xml:space="preserve">number </w:t>
      </w:r>
      <w:r w:rsidR="00510D80">
        <w:rPr>
          <w:shd w:val="clear" w:color="auto" w:fill="FFFFFF"/>
        </w:rPr>
        <w:t>o</w:t>
      </w:r>
      <w:r>
        <w:rPr>
          <w:shd w:val="clear" w:color="auto" w:fill="FFFFFF"/>
        </w:rPr>
        <w:t>f cycles</w:t>
      </w:r>
      <w:r w:rsidRPr="00A448D7">
        <w:rPr>
          <w:shd w:val="clear" w:color="auto" w:fill="FFFFFF"/>
        </w:rPr>
        <w:t xml:space="preserve"> </w:t>
      </w:r>
      <w:r>
        <w:rPr>
          <w:shd w:val="clear" w:color="auto" w:fill="FFFFFF"/>
        </w:rPr>
        <w:t>extracted from the previous data</w:t>
      </w:r>
      <w:r w:rsidRPr="00A448D7">
        <w:rPr>
          <w:shd w:val="clear" w:color="auto" w:fill="FFFFFF"/>
        </w:rPr>
        <w:t xml:space="preserve"> and corresponding fitting function from w</w:t>
      </w:r>
      <w:r>
        <w:rPr>
          <w:shd w:val="clear" w:color="auto" w:fill="FFFFFF"/>
        </w:rPr>
        <w:t>hich</w:t>
      </w:r>
      <w:r w:rsidRPr="00A448D7">
        <w:rPr>
          <w:shd w:val="clear" w:color="auto" w:fill="FFFFFF"/>
        </w:rPr>
        <w:t xml:space="preserve"> </w:t>
      </w:r>
      <w:r>
        <w:rPr>
          <w:rFonts w:ascii="Symbol" w:hAnsi="Symbol"/>
          <w:shd w:val="clear" w:color="auto" w:fill="FFFFFF"/>
        </w:rPr>
        <w:t></w:t>
      </w:r>
      <w:r w:rsidRPr="00F779C1">
        <w:rPr>
          <w:rFonts w:ascii="Symbol" w:hAnsi="Symbol"/>
          <w:shd w:val="clear" w:color="auto" w:fill="FFFFFF"/>
          <w:vertAlign w:val="subscript"/>
        </w:rPr>
        <w:t></w:t>
      </w:r>
      <w:r w:rsidRPr="00F779C1">
        <w:rPr>
          <w:rFonts w:ascii="Symbol" w:hAnsi="Symbol"/>
          <w:shd w:val="clear" w:color="auto" w:fill="FFFFFF"/>
          <w:vertAlign w:val="subscript"/>
        </w:rPr>
        <w:t></w:t>
      </w:r>
      <w:r w:rsidRPr="00A448D7">
        <w:rPr>
          <w:shd w:val="clear" w:color="auto" w:fill="FFFFFF"/>
        </w:rPr>
        <w:t xml:space="preserve"> values can be obtained.</w:t>
      </w:r>
      <w:r>
        <w:rPr>
          <w:shd w:val="clear" w:color="auto" w:fill="FFFFFF"/>
        </w:rPr>
        <w:br w:type="page"/>
      </w:r>
    </w:p>
    <w:p w14:paraId="772C0FDF" w14:textId="77777777" w:rsidR="00594371" w:rsidRPr="00594371" w:rsidRDefault="00594371" w:rsidP="00594371">
      <w:pPr>
        <w:pStyle w:val="TAMainText"/>
        <w:rPr>
          <w:b/>
          <w:bCs/>
        </w:rPr>
      </w:pPr>
      <w:r w:rsidRPr="00594371">
        <w:rPr>
          <w:b/>
          <w:bCs/>
        </w:rPr>
        <w:lastRenderedPageBreak/>
        <w:t>S7. Spin-coated P3HT-CHCl</w:t>
      </w:r>
      <w:r w:rsidRPr="009228C7">
        <w:rPr>
          <w:b/>
          <w:bCs/>
          <w:vertAlign w:val="subscript"/>
        </w:rPr>
        <w:t>3</w:t>
      </w:r>
      <w:r w:rsidRPr="00594371">
        <w:rPr>
          <w:b/>
          <w:bCs/>
        </w:rPr>
        <w:t xml:space="preserve"> film</w:t>
      </w:r>
    </w:p>
    <w:p w14:paraId="7069CFFA" w14:textId="67F4E421" w:rsidR="00594371" w:rsidRPr="00ED5012" w:rsidRDefault="00594371" w:rsidP="00594371">
      <w:pPr>
        <w:pStyle w:val="TAMainText"/>
        <w:ind w:firstLine="0"/>
        <w:rPr>
          <w:rFonts w:ascii="Times New Roman" w:hAnsi="Times New Roman"/>
          <w:szCs w:val="24"/>
        </w:rPr>
      </w:pPr>
      <w:r w:rsidRPr="00ED5012">
        <w:rPr>
          <w:rFonts w:ascii="Times New Roman" w:hAnsi="Times New Roman"/>
          <w:szCs w:val="24"/>
        </w:rPr>
        <w:t>Spin-coating of non-nanostructured P3HT-CHCl</w:t>
      </w:r>
      <w:r w:rsidRPr="00ED5012">
        <w:rPr>
          <w:rFonts w:ascii="Times New Roman" w:hAnsi="Times New Roman"/>
          <w:szCs w:val="24"/>
          <w:vertAlign w:val="subscript"/>
        </w:rPr>
        <w:t>3</w:t>
      </w:r>
      <w:r w:rsidRPr="00ED5012">
        <w:rPr>
          <w:rFonts w:ascii="Times New Roman" w:hAnsi="Times New Roman"/>
          <w:szCs w:val="24"/>
        </w:rPr>
        <w:t xml:space="preserve"> dispersions, provide</w:t>
      </w:r>
      <w:r w:rsidR="00510D80">
        <w:rPr>
          <w:rFonts w:ascii="Times New Roman" w:hAnsi="Times New Roman"/>
          <w:szCs w:val="24"/>
        </w:rPr>
        <w:t>s</w:t>
      </w:r>
      <w:r w:rsidRPr="00ED5012">
        <w:rPr>
          <w:rFonts w:ascii="Times New Roman" w:hAnsi="Times New Roman"/>
          <w:szCs w:val="24"/>
        </w:rPr>
        <w:t xml:space="preserve"> a continuous film coverage of the ITO substrate, as can be seen by SEM (Figure S</w:t>
      </w:r>
      <w:r>
        <w:rPr>
          <w:rFonts w:ascii="Times New Roman" w:hAnsi="Times New Roman"/>
          <w:szCs w:val="24"/>
        </w:rPr>
        <w:t>7</w:t>
      </w:r>
      <w:r w:rsidRPr="00ED5012">
        <w:rPr>
          <w:rFonts w:ascii="Times New Roman" w:hAnsi="Times New Roman"/>
          <w:szCs w:val="24"/>
        </w:rPr>
        <w:t>A) and the profilometry curve of a representative film with average film thickness of 77 nm (Figure S</w:t>
      </w:r>
      <w:r>
        <w:rPr>
          <w:rFonts w:ascii="Times New Roman" w:hAnsi="Times New Roman"/>
          <w:szCs w:val="24"/>
        </w:rPr>
        <w:t>7</w:t>
      </w:r>
      <w:r w:rsidRPr="00ED5012">
        <w:rPr>
          <w:rFonts w:ascii="Times New Roman" w:hAnsi="Times New Roman"/>
          <w:szCs w:val="24"/>
        </w:rPr>
        <w:t>B). Therefore, the electrochromic transmittance and contrast behavior at 520 nm (Figure S</w:t>
      </w:r>
      <w:r>
        <w:rPr>
          <w:rFonts w:ascii="Times New Roman" w:hAnsi="Times New Roman"/>
          <w:szCs w:val="24"/>
        </w:rPr>
        <w:t>7</w:t>
      </w:r>
      <w:r w:rsidRPr="00ED5012">
        <w:rPr>
          <w:rFonts w:ascii="Times New Roman" w:hAnsi="Times New Roman"/>
          <w:szCs w:val="24"/>
        </w:rPr>
        <w:t xml:space="preserve">C) now shows more consistent results, comparable to those of the spray-coated films of the other P3HT series. This especially refers to the optimum redox charge density and maximum contrast being achieved. </w:t>
      </w:r>
      <w:r>
        <w:rPr>
          <w:rFonts w:ascii="Times New Roman" w:hAnsi="Times New Roman"/>
          <w:szCs w:val="24"/>
        </w:rPr>
        <w:t>Equally,</w:t>
      </w:r>
      <w:r w:rsidRPr="00ED5012">
        <w:rPr>
          <w:rFonts w:ascii="Times New Roman" w:hAnsi="Times New Roman"/>
          <w:szCs w:val="24"/>
        </w:rPr>
        <w:t xml:space="preserve"> t</w:t>
      </w:r>
      <w:r w:rsidRPr="00ED5012">
        <w:rPr>
          <w:rFonts w:ascii="Times New Roman" w:hAnsi="Times New Roman"/>
          <w:szCs w:val="24"/>
          <w:vertAlign w:val="subscript"/>
        </w:rPr>
        <w:t>90</w:t>
      </w:r>
      <w:r w:rsidRPr="00ED5012">
        <w:rPr>
          <w:rFonts w:ascii="Times New Roman" w:hAnsi="Times New Roman"/>
          <w:szCs w:val="24"/>
        </w:rPr>
        <w:t xml:space="preserve"> switching speed (Figure S</w:t>
      </w:r>
      <w:r>
        <w:rPr>
          <w:rFonts w:ascii="Times New Roman" w:hAnsi="Times New Roman"/>
          <w:szCs w:val="24"/>
        </w:rPr>
        <w:t>7</w:t>
      </w:r>
      <w:r w:rsidRPr="00ED5012">
        <w:rPr>
          <w:rFonts w:ascii="Times New Roman" w:hAnsi="Times New Roman"/>
          <w:szCs w:val="24"/>
        </w:rPr>
        <w:t>D), as well as the cycling stability (Figure S</w:t>
      </w:r>
      <w:r>
        <w:rPr>
          <w:rFonts w:ascii="Times New Roman" w:hAnsi="Times New Roman"/>
          <w:szCs w:val="24"/>
        </w:rPr>
        <w:t>7</w:t>
      </w:r>
      <w:r w:rsidRPr="00ED5012">
        <w:rPr>
          <w:rFonts w:ascii="Times New Roman" w:hAnsi="Times New Roman"/>
          <w:szCs w:val="24"/>
        </w:rPr>
        <w:t>E) in the optimum redox window reveal a behavior close to the ones of the other spray-coated film series. However, the spin-coated P3HT-CHCl</w:t>
      </w:r>
      <w:r w:rsidRPr="00ED5012">
        <w:rPr>
          <w:rFonts w:ascii="Times New Roman" w:hAnsi="Times New Roman"/>
          <w:szCs w:val="24"/>
          <w:vertAlign w:val="subscript"/>
        </w:rPr>
        <w:t>3</w:t>
      </w:r>
      <w:r w:rsidRPr="00ED5012">
        <w:rPr>
          <w:rFonts w:ascii="Times New Roman" w:hAnsi="Times New Roman"/>
          <w:szCs w:val="24"/>
        </w:rPr>
        <w:t xml:space="preserve"> film is prone to delamination issues (Figure S</w:t>
      </w:r>
      <w:r>
        <w:rPr>
          <w:rFonts w:ascii="Times New Roman" w:hAnsi="Times New Roman"/>
          <w:szCs w:val="24"/>
        </w:rPr>
        <w:t>7</w:t>
      </w:r>
      <w:r w:rsidRPr="00ED5012">
        <w:rPr>
          <w:rFonts w:ascii="Times New Roman" w:hAnsi="Times New Roman"/>
          <w:szCs w:val="24"/>
        </w:rPr>
        <w:t>F), compromising the mechanical integrity of the film, and thus as well the contact to the underlying substrate. This results in the non-linear enhancement of the t</w:t>
      </w:r>
      <w:r w:rsidRPr="00ED5012">
        <w:rPr>
          <w:rFonts w:ascii="Times New Roman" w:hAnsi="Times New Roman"/>
          <w:szCs w:val="24"/>
          <w:vertAlign w:val="subscript"/>
        </w:rPr>
        <w:t xml:space="preserve">90 </w:t>
      </w:r>
      <w:r w:rsidRPr="00ED5012">
        <w:rPr>
          <w:rFonts w:ascii="Times New Roman" w:hAnsi="Times New Roman"/>
          <w:szCs w:val="24"/>
        </w:rPr>
        <w:t>switching and the decrease of the cycle stability, beyond the established optimum redox charge densities window, as can be seen in Figure S</w:t>
      </w:r>
      <w:r>
        <w:rPr>
          <w:rFonts w:ascii="Times New Roman" w:hAnsi="Times New Roman"/>
          <w:szCs w:val="24"/>
        </w:rPr>
        <w:t>7</w:t>
      </w:r>
      <w:r w:rsidRPr="00ED5012">
        <w:rPr>
          <w:rFonts w:ascii="Times New Roman" w:hAnsi="Times New Roman"/>
          <w:szCs w:val="24"/>
        </w:rPr>
        <w:t>D and S</w:t>
      </w:r>
      <w:r>
        <w:rPr>
          <w:rFonts w:ascii="Times New Roman" w:hAnsi="Times New Roman"/>
          <w:szCs w:val="24"/>
        </w:rPr>
        <w:t>7</w:t>
      </w:r>
      <w:r w:rsidRPr="00ED5012">
        <w:rPr>
          <w:rFonts w:ascii="Times New Roman" w:hAnsi="Times New Roman"/>
          <w:szCs w:val="24"/>
        </w:rPr>
        <w:t>E, respectively.</w:t>
      </w:r>
    </w:p>
    <w:p w14:paraId="265C8E4D" w14:textId="77777777" w:rsidR="00594371" w:rsidRPr="00ED5012" w:rsidRDefault="00594371" w:rsidP="009150C5">
      <w:pPr>
        <w:pStyle w:val="TAMainText"/>
      </w:pPr>
      <w:r w:rsidRPr="00ED5012">
        <w:t>The overall electrochromic performance parameters for the spin-coated P3HT-CHCl</w:t>
      </w:r>
      <w:r w:rsidRPr="00ED5012">
        <w:rPr>
          <w:vertAlign w:val="subscript"/>
        </w:rPr>
        <w:t>3</w:t>
      </w:r>
      <w:r w:rsidRPr="00ED5012">
        <w:t xml:space="preserve"> series are summarized in Table S1.</w:t>
      </w:r>
    </w:p>
    <w:p w14:paraId="47CBE9C7" w14:textId="77777777" w:rsidR="009150C5" w:rsidRDefault="009150C5" w:rsidP="009150C5">
      <w:pPr>
        <w:pStyle w:val="VAFigureCaption"/>
        <w:jc w:val="center"/>
        <w:rPr>
          <w:b/>
        </w:rPr>
      </w:pPr>
      <w:r>
        <w:rPr>
          <w:b/>
          <w:noProof/>
          <w:lang w:val="es-ES" w:eastAsia="es-ES"/>
        </w:rPr>
        <w:lastRenderedPageBreak/>
        <w:drawing>
          <wp:inline distT="0" distB="0" distL="0" distR="0" wp14:anchorId="3605D4F4" wp14:editId="18C7602C">
            <wp:extent cx="4680000" cy="5610500"/>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7-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0" cy="5610500"/>
                    </a:xfrm>
                    <a:prstGeom prst="rect">
                      <a:avLst/>
                    </a:prstGeom>
                  </pic:spPr>
                </pic:pic>
              </a:graphicData>
            </a:graphic>
          </wp:inline>
        </w:drawing>
      </w:r>
    </w:p>
    <w:p w14:paraId="74D44DE8" w14:textId="4CC733B8" w:rsidR="00594371" w:rsidRPr="00594371" w:rsidRDefault="00594371" w:rsidP="00594371">
      <w:pPr>
        <w:pStyle w:val="VAFigureCaption"/>
      </w:pPr>
      <w:r w:rsidRPr="00594371">
        <w:rPr>
          <w:b/>
        </w:rPr>
        <w:t>Figure S7.</w:t>
      </w:r>
      <w:r w:rsidRPr="00594371">
        <w:t xml:space="preserve"> Characterization of spin-coated P3HT films deposited from chloroform. A) SEM image obtained at 30 </w:t>
      </w:r>
      <w:proofErr w:type="spellStart"/>
      <w:r w:rsidRPr="00594371">
        <w:t>kX</w:t>
      </w:r>
      <w:proofErr w:type="spellEnd"/>
      <w:r w:rsidRPr="00594371">
        <w:t xml:space="preserve"> magnification (scale bar 200 nm). B) Profilometry of a representative film with average thickness of 77 nm. C) Transmittance in transparent and colored states, together with resulting contrast, versus redox charge density. D) Switching speeds, represented by t</w:t>
      </w:r>
      <w:r w:rsidRPr="00E52A95">
        <w:rPr>
          <w:vertAlign w:val="subscript"/>
        </w:rPr>
        <w:t>90</w:t>
      </w:r>
      <w:r w:rsidRPr="00594371">
        <w:t xml:space="preserve"> values versus redox charge density. E) Cycling stability, represented by the number of cycles corresponding to a 20 % loss of the initial contrast value, i.e. N</w:t>
      </w:r>
      <w:r w:rsidRPr="003D3ACE">
        <w:rPr>
          <w:vertAlign w:val="subscript"/>
        </w:rPr>
        <w:t>80</w:t>
      </w:r>
      <w:r w:rsidRPr="00594371">
        <w:t xml:space="preserve"> value. F) Image</w:t>
      </w:r>
      <w:r w:rsidR="00510D80">
        <w:t>s</w:t>
      </w:r>
      <w:r w:rsidRPr="00594371">
        <w:t xml:space="preserve"> of delaminated film</w:t>
      </w:r>
      <w:r w:rsidR="00510D80">
        <w:t>s</w:t>
      </w:r>
      <w:r w:rsidRPr="00594371">
        <w:t xml:space="preserve"> after cycling stability tests.</w:t>
      </w:r>
    </w:p>
    <w:p w14:paraId="0FBDBC96" w14:textId="11180286" w:rsidR="00594371" w:rsidRPr="00C00384" w:rsidRDefault="00594371" w:rsidP="00594371">
      <w:pPr>
        <w:pStyle w:val="VDTableTitle"/>
      </w:pPr>
      <w:r w:rsidRPr="00C00384">
        <w:rPr>
          <w:b/>
        </w:rPr>
        <w:lastRenderedPageBreak/>
        <w:t>Table S1</w:t>
      </w:r>
      <w:r w:rsidR="00510D80">
        <w:rPr>
          <w:b/>
        </w:rPr>
        <w:t>.</w:t>
      </w:r>
      <w:r w:rsidRPr="00C00384">
        <w:t xml:space="preserve"> Electrochromic performance parameters for spin-coated P3HT-CHCl</w:t>
      </w:r>
      <w:r w:rsidRPr="00C00384">
        <w:rPr>
          <w:vertAlign w:val="subscript"/>
        </w:rPr>
        <w:t>3</w:t>
      </w:r>
      <w:r w:rsidRPr="00C00384">
        <w:t xml:space="preserve"> series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99"/>
        <w:gridCol w:w="1699"/>
        <w:gridCol w:w="1699"/>
        <w:gridCol w:w="1699"/>
      </w:tblGrid>
      <w:tr w:rsidR="00594371" w14:paraId="43D24AA0" w14:textId="77777777" w:rsidTr="00594371">
        <w:trPr>
          <w:jc w:val="center"/>
        </w:trPr>
        <w:tc>
          <w:tcPr>
            <w:tcW w:w="1698" w:type="dxa"/>
            <w:shd w:val="clear" w:color="auto" w:fill="D9D9D9" w:themeFill="background1" w:themeFillShade="D9"/>
          </w:tcPr>
          <w:p w14:paraId="7CF89158" w14:textId="77777777" w:rsidR="00594371" w:rsidRPr="00C00384" w:rsidRDefault="00594371" w:rsidP="00594371">
            <w:pPr>
              <w:pStyle w:val="TCTableBody"/>
              <w:rPr>
                <w:lang w:val="en-US"/>
              </w:rPr>
            </w:pPr>
          </w:p>
        </w:tc>
        <w:tc>
          <w:tcPr>
            <w:tcW w:w="1699" w:type="dxa"/>
            <w:shd w:val="clear" w:color="auto" w:fill="D9D9D9" w:themeFill="background1" w:themeFillShade="D9"/>
          </w:tcPr>
          <w:p w14:paraId="66ECC86A" w14:textId="77777777" w:rsidR="00594371" w:rsidRPr="00C00384" w:rsidRDefault="00594371" w:rsidP="00594371">
            <w:pPr>
              <w:pStyle w:val="TCTableBody"/>
              <w:jc w:val="center"/>
              <w:rPr>
                <w:b/>
                <w:lang w:val="en-US"/>
              </w:rPr>
            </w:pPr>
            <w:r w:rsidRPr="00C00384">
              <w:rPr>
                <w:b/>
                <w:lang w:val="en-US"/>
              </w:rPr>
              <w:t>Redox charge density</w:t>
            </w:r>
          </w:p>
          <w:p w14:paraId="24D176A2" w14:textId="77777777" w:rsidR="00594371" w:rsidRPr="00C00384" w:rsidRDefault="00594371" w:rsidP="00594371">
            <w:pPr>
              <w:pStyle w:val="TCTableBody"/>
              <w:jc w:val="center"/>
              <w:rPr>
                <w:b/>
                <w:lang w:val="en-US"/>
              </w:rPr>
            </w:pPr>
            <w:r w:rsidRPr="00C00384">
              <w:rPr>
                <w:b/>
                <w:lang w:val="en-US"/>
              </w:rPr>
              <w:t>/ mCcm</w:t>
            </w:r>
            <w:r w:rsidRPr="00C00384">
              <w:rPr>
                <w:b/>
                <w:vertAlign w:val="superscript"/>
                <w:lang w:val="en-US"/>
              </w:rPr>
              <w:t>-2</w:t>
            </w:r>
          </w:p>
        </w:tc>
        <w:tc>
          <w:tcPr>
            <w:tcW w:w="1699" w:type="dxa"/>
            <w:shd w:val="clear" w:color="auto" w:fill="D9D9D9" w:themeFill="background1" w:themeFillShade="D9"/>
          </w:tcPr>
          <w:p w14:paraId="12C0DC74" w14:textId="77777777" w:rsidR="00594371" w:rsidRPr="00C00384" w:rsidRDefault="00594371" w:rsidP="00594371">
            <w:pPr>
              <w:pStyle w:val="TCTableBody"/>
              <w:jc w:val="center"/>
              <w:rPr>
                <w:b/>
                <w:lang w:val="en-US"/>
              </w:rPr>
            </w:pPr>
            <w:r w:rsidRPr="00C00384">
              <w:rPr>
                <w:b/>
                <w:lang w:val="en-US"/>
              </w:rPr>
              <w:t>Maximum contrast</w:t>
            </w:r>
          </w:p>
          <w:p w14:paraId="0BD5F914" w14:textId="77777777" w:rsidR="00594371" w:rsidRPr="00C00384" w:rsidRDefault="00594371" w:rsidP="00594371">
            <w:pPr>
              <w:pStyle w:val="TCTableBody"/>
              <w:jc w:val="center"/>
              <w:rPr>
                <w:b/>
                <w:lang w:val="en-US"/>
              </w:rPr>
            </w:pPr>
            <w:r w:rsidRPr="00C00384">
              <w:rPr>
                <w:b/>
                <w:lang w:val="en-US"/>
              </w:rPr>
              <w:t>/ %</w:t>
            </w:r>
          </w:p>
        </w:tc>
        <w:tc>
          <w:tcPr>
            <w:tcW w:w="1699" w:type="dxa"/>
            <w:shd w:val="clear" w:color="auto" w:fill="D9D9D9" w:themeFill="background1" w:themeFillShade="D9"/>
          </w:tcPr>
          <w:p w14:paraId="2AC12AD1" w14:textId="77777777" w:rsidR="00594371" w:rsidRPr="00C00384" w:rsidRDefault="00594371" w:rsidP="00594371">
            <w:pPr>
              <w:pStyle w:val="TCTableBody"/>
              <w:jc w:val="center"/>
              <w:rPr>
                <w:b/>
                <w:lang w:val="en-US"/>
              </w:rPr>
            </w:pPr>
            <w:r w:rsidRPr="00C00384">
              <w:rPr>
                <w:b/>
                <w:lang w:val="en-US"/>
              </w:rPr>
              <w:t>Switching speed t</w:t>
            </w:r>
            <w:r w:rsidRPr="00C00384">
              <w:rPr>
                <w:b/>
                <w:vertAlign w:val="subscript"/>
                <w:lang w:val="en-US"/>
              </w:rPr>
              <w:t>90</w:t>
            </w:r>
          </w:p>
          <w:p w14:paraId="4F945064" w14:textId="77777777" w:rsidR="00594371" w:rsidRPr="00C00384" w:rsidRDefault="00594371" w:rsidP="00594371">
            <w:pPr>
              <w:pStyle w:val="TCTableBody"/>
              <w:jc w:val="center"/>
              <w:rPr>
                <w:b/>
                <w:lang w:val="en-US"/>
              </w:rPr>
            </w:pPr>
            <w:r w:rsidRPr="00C00384">
              <w:rPr>
                <w:b/>
                <w:lang w:val="en-US"/>
              </w:rPr>
              <w:t>/s</w:t>
            </w:r>
          </w:p>
        </w:tc>
        <w:tc>
          <w:tcPr>
            <w:tcW w:w="1699" w:type="dxa"/>
            <w:shd w:val="clear" w:color="auto" w:fill="D9D9D9" w:themeFill="background1" w:themeFillShade="D9"/>
          </w:tcPr>
          <w:p w14:paraId="07DCFC93" w14:textId="77777777" w:rsidR="00594371" w:rsidRPr="00C00384" w:rsidRDefault="00594371" w:rsidP="00594371">
            <w:pPr>
              <w:pStyle w:val="TCTableBody"/>
              <w:jc w:val="center"/>
              <w:rPr>
                <w:b/>
                <w:lang w:val="en-US"/>
              </w:rPr>
            </w:pPr>
            <w:r w:rsidRPr="00C00384">
              <w:rPr>
                <w:b/>
                <w:lang w:val="en-US"/>
              </w:rPr>
              <w:t>Cycling stability N</w:t>
            </w:r>
            <w:r w:rsidRPr="00C00384">
              <w:rPr>
                <w:b/>
                <w:vertAlign w:val="subscript"/>
                <w:lang w:val="en-US"/>
              </w:rPr>
              <w:t>80</w:t>
            </w:r>
          </w:p>
        </w:tc>
      </w:tr>
      <w:tr w:rsidR="00594371" w14:paraId="51319C25" w14:textId="77777777" w:rsidTr="00594371">
        <w:trPr>
          <w:jc w:val="center"/>
        </w:trPr>
        <w:tc>
          <w:tcPr>
            <w:tcW w:w="1698" w:type="dxa"/>
            <w:tcBorders>
              <w:bottom w:val="single" w:sz="4" w:space="0" w:color="auto"/>
            </w:tcBorders>
          </w:tcPr>
          <w:p w14:paraId="7585B0F1" w14:textId="77777777" w:rsidR="00594371" w:rsidRPr="00C00384" w:rsidRDefault="00594371" w:rsidP="00594371">
            <w:pPr>
              <w:pStyle w:val="TCTableBody"/>
              <w:rPr>
                <w:b/>
                <w:lang w:val="en-US"/>
              </w:rPr>
            </w:pPr>
            <w:r w:rsidRPr="00C00384">
              <w:rPr>
                <w:b/>
                <w:lang w:val="en-US"/>
              </w:rPr>
              <w:t>P3HT-CHCl</w:t>
            </w:r>
            <w:r w:rsidRPr="00C00384">
              <w:rPr>
                <w:b/>
                <w:vertAlign w:val="subscript"/>
                <w:lang w:val="en-US"/>
              </w:rPr>
              <w:t>3</w:t>
            </w:r>
          </w:p>
        </w:tc>
        <w:tc>
          <w:tcPr>
            <w:tcW w:w="1699" w:type="dxa"/>
            <w:tcBorders>
              <w:bottom w:val="single" w:sz="4" w:space="0" w:color="auto"/>
            </w:tcBorders>
          </w:tcPr>
          <w:p w14:paraId="24E1FF12" w14:textId="77777777" w:rsidR="00594371" w:rsidRPr="00C00384" w:rsidRDefault="00594371" w:rsidP="00594371">
            <w:pPr>
              <w:pStyle w:val="TCTableBody"/>
              <w:jc w:val="center"/>
              <w:rPr>
                <w:lang w:val="en-US"/>
              </w:rPr>
            </w:pPr>
            <w:r w:rsidRPr="00C00384">
              <w:rPr>
                <w:lang w:val="en-US"/>
              </w:rPr>
              <w:t>2.7</w:t>
            </w:r>
          </w:p>
        </w:tc>
        <w:tc>
          <w:tcPr>
            <w:tcW w:w="1699" w:type="dxa"/>
            <w:tcBorders>
              <w:bottom w:val="single" w:sz="4" w:space="0" w:color="auto"/>
            </w:tcBorders>
          </w:tcPr>
          <w:p w14:paraId="0D031036" w14:textId="77777777" w:rsidR="00594371" w:rsidRPr="00C00384" w:rsidRDefault="00594371" w:rsidP="00594371">
            <w:pPr>
              <w:pStyle w:val="TCTableBody"/>
              <w:jc w:val="center"/>
              <w:rPr>
                <w:lang w:val="en-US"/>
              </w:rPr>
            </w:pPr>
            <w:r w:rsidRPr="00C00384">
              <w:rPr>
                <w:lang w:val="en-US"/>
              </w:rPr>
              <w:t>48</w:t>
            </w:r>
          </w:p>
        </w:tc>
        <w:tc>
          <w:tcPr>
            <w:tcW w:w="1699" w:type="dxa"/>
            <w:tcBorders>
              <w:bottom w:val="single" w:sz="4" w:space="0" w:color="auto"/>
            </w:tcBorders>
          </w:tcPr>
          <w:p w14:paraId="4991A3B6" w14:textId="77777777" w:rsidR="00594371" w:rsidRPr="00C00384" w:rsidRDefault="00594371" w:rsidP="00594371">
            <w:pPr>
              <w:pStyle w:val="TCTableBody"/>
              <w:jc w:val="center"/>
              <w:rPr>
                <w:lang w:val="en-US"/>
              </w:rPr>
            </w:pPr>
            <w:r w:rsidRPr="00C00384">
              <w:rPr>
                <w:lang w:val="en-US"/>
              </w:rPr>
              <w:t>0.48</w:t>
            </w:r>
          </w:p>
        </w:tc>
        <w:tc>
          <w:tcPr>
            <w:tcW w:w="1699" w:type="dxa"/>
            <w:tcBorders>
              <w:bottom w:val="single" w:sz="4" w:space="0" w:color="auto"/>
            </w:tcBorders>
          </w:tcPr>
          <w:p w14:paraId="73424A84" w14:textId="77777777" w:rsidR="00594371" w:rsidRPr="00C00384" w:rsidRDefault="00594371" w:rsidP="00594371">
            <w:pPr>
              <w:pStyle w:val="TCTableBody"/>
              <w:jc w:val="center"/>
              <w:rPr>
                <w:lang w:val="en-US"/>
              </w:rPr>
            </w:pPr>
            <w:r w:rsidRPr="00C00384">
              <w:rPr>
                <w:lang w:val="en-US"/>
              </w:rPr>
              <w:t>220</w:t>
            </w:r>
          </w:p>
        </w:tc>
      </w:tr>
    </w:tbl>
    <w:p w14:paraId="77400A62" w14:textId="77777777" w:rsidR="00594371" w:rsidRDefault="00594371" w:rsidP="00594371"/>
    <w:p w14:paraId="6EDB54B9" w14:textId="77777777" w:rsidR="009150C5" w:rsidRDefault="009150C5" w:rsidP="00594371"/>
    <w:p w14:paraId="6F4E389D" w14:textId="77777777" w:rsidR="009150C5" w:rsidRDefault="009150C5" w:rsidP="00594371"/>
    <w:p w14:paraId="26DEBF2C" w14:textId="77777777" w:rsidR="00594371" w:rsidRPr="003D3ACE" w:rsidRDefault="00594371" w:rsidP="003D3ACE">
      <w:pPr>
        <w:pStyle w:val="TFReferencesSection"/>
        <w:rPr>
          <w:b/>
          <w:bCs/>
        </w:rPr>
      </w:pPr>
      <w:r w:rsidRPr="003D3ACE">
        <w:rPr>
          <w:b/>
          <w:bCs/>
        </w:rPr>
        <w:t>REFERENCES</w:t>
      </w:r>
    </w:p>
    <w:p w14:paraId="5E47046C" w14:textId="77777777" w:rsidR="00E52A95" w:rsidRPr="00E52A95" w:rsidRDefault="00594371" w:rsidP="00E52A95">
      <w:pPr>
        <w:pStyle w:val="Bibliografa"/>
        <w:rPr>
          <w:rFonts w:ascii="Times" w:hAnsi="Times" w:cs="Times"/>
          <w:sz w:val="24"/>
        </w:rPr>
      </w:pPr>
      <w:r w:rsidRPr="003D3ACE">
        <w:fldChar w:fldCharType="begin"/>
      </w:r>
      <w:r w:rsidR="00E52A95">
        <w:instrText xml:space="preserve"> ADDIN ZOTERO_BIBL {"uncited":[],"omitted":[],"custom":[]} CSL_BIBLIOGRAPHY </w:instrText>
      </w:r>
      <w:r w:rsidRPr="003D3ACE">
        <w:fldChar w:fldCharType="separate"/>
      </w:r>
      <w:r w:rsidR="00E52A95" w:rsidRPr="00E52A95">
        <w:rPr>
          <w:rFonts w:ascii="Times" w:hAnsi="Times" w:cs="Times"/>
          <w:sz w:val="24"/>
        </w:rPr>
        <w:t>[1]</w:t>
      </w:r>
      <w:r w:rsidR="00E52A95" w:rsidRPr="00E52A95">
        <w:rPr>
          <w:rFonts w:ascii="Times" w:hAnsi="Times" w:cs="Times"/>
          <w:sz w:val="24"/>
        </w:rPr>
        <w:tab/>
        <w:t>Spano FC, Silva C. H- and J-Aggregate Behavior in Polymeric Semiconductors. Annu Rev Phys Chem 2014;65:477–500. https://doi.org/10.1146/annurev-physchem-040513-103639.</w:t>
      </w:r>
    </w:p>
    <w:p w14:paraId="65819E0A" w14:textId="77777777" w:rsidR="00E52A95" w:rsidRPr="00E52A95" w:rsidRDefault="00E52A95" w:rsidP="00E52A95">
      <w:pPr>
        <w:pStyle w:val="Bibliografa"/>
        <w:rPr>
          <w:rFonts w:ascii="Times" w:hAnsi="Times" w:cs="Times"/>
          <w:sz w:val="24"/>
        </w:rPr>
      </w:pPr>
      <w:r w:rsidRPr="00E52A95">
        <w:rPr>
          <w:rFonts w:ascii="Times" w:hAnsi="Times" w:cs="Times"/>
          <w:sz w:val="24"/>
        </w:rPr>
        <w:t>[2]</w:t>
      </w:r>
      <w:r w:rsidRPr="00E52A95">
        <w:rPr>
          <w:rFonts w:ascii="Times" w:hAnsi="Times" w:cs="Times"/>
          <w:sz w:val="24"/>
        </w:rPr>
        <w:tab/>
        <w:t>Ghosh R, Spano FC. Excitons and Polarons in Organic Materials. Acc Chem Res 2020;53:2201–11. https://doi.org/10.1021/acs.accounts.0c00349.</w:t>
      </w:r>
    </w:p>
    <w:p w14:paraId="3898DAAC" w14:textId="77777777" w:rsidR="00E52A95" w:rsidRPr="00E52A95" w:rsidRDefault="00E52A95" w:rsidP="00E52A95">
      <w:pPr>
        <w:pStyle w:val="Bibliografa"/>
        <w:rPr>
          <w:rFonts w:ascii="Times" w:hAnsi="Times" w:cs="Times"/>
          <w:sz w:val="24"/>
        </w:rPr>
      </w:pPr>
      <w:r w:rsidRPr="00E52A95">
        <w:rPr>
          <w:rFonts w:ascii="Times" w:hAnsi="Times" w:cs="Times"/>
          <w:sz w:val="24"/>
        </w:rPr>
        <w:t>[3]</w:t>
      </w:r>
      <w:r w:rsidRPr="00E52A95">
        <w:rPr>
          <w:rFonts w:ascii="Times" w:hAnsi="Times" w:cs="Times"/>
          <w:sz w:val="24"/>
        </w:rPr>
        <w:tab/>
        <w:t>Istif E, Hernández-Ferrer J, Urriolabeitia EP, Stergiou A, Tagmatarchis N, Fratta G, et al. Conjugated Polymer Nanoparticle-Graphene Oxide Charge-Transfer Complexes. Adv Funct Mater 2018;28:1707548. https://doi.org/10.1002/adfm.201707548.</w:t>
      </w:r>
    </w:p>
    <w:p w14:paraId="349E58C6" w14:textId="70B03A91" w:rsidR="00594371" w:rsidRPr="00594371" w:rsidRDefault="00594371" w:rsidP="003D3ACE">
      <w:pPr>
        <w:pStyle w:val="TFReferencesSection"/>
      </w:pPr>
      <w:r w:rsidRPr="003D3ACE">
        <w:fldChar w:fldCharType="end"/>
      </w:r>
    </w:p>
    <w:sectPr w:rsidR="00594371" w:rsidRPr="00594371"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25C95" w14:textId="77777777" w:rsidR="006303F5" w:rsidRDefault="006303F5">
      <w:r>
        <w:separator/>
      </w:r>
    </w:p>
  </w:endnote>
  <w:endnote w:type="continuationSeparator" w:id="0">
    <w:p w14:paraId="055D6983" w14:textId="77777777" w:rsidR="006303F5" w:rsidRDefault="0063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3BFEE" w14:textId="77777777" w:rsidR="003B4AF3" w:rsidRDefault="003B4AF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B06F41E" w14:textId="77777777" w:rsidR="003B4AF3" w:rsidRDefault="003B4AF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57C60" w14:textId="77777777" w:rsidR="003B4AF3" w:rsidRDefault="003B4AF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368EC">
      <w:rPr>
        <w:rStyle w:val="Nmerodepgina"/>
        <w:noProof/>
      </w:rPr>
      <w:t>1</w:t>
    </w:r>
    <w:r>
      <w:rPr>
        <w:rStyle w:val="Nmerodepgina"/>
      </w:rPr>
      <w:fldChar w:fldCharType="end"/>
    </w:r>
  </w:p>
  <w:p w14:paraId="13014EB6" w14:textId="77777777" w:rsidR="003B4AF3" w:rsidRDefault="003B4AF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E40A0" w14:textId="77777777" w:rsidR="006303F5" w:rsidRDefault="006303F5">
      <w:r>
        <w:separator/>
      </w:r>
    </w:p>
  </w:footnote>
  <w:footnote w:type="continuationSeparator" w:id="0">
    <w:p w14:paraId="75A637B0" w14:textId="77777777" w:rsidR="006303F5" w:rsidRDefault="006303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ACB"/>
    <w:rsid w:val="000002F2"/>
    <w:rsid w:val="0005660F"/>
    <w:rsid w:val="000702AD"/>
    <w:rsid w:val="00072C87"/>
    <w:rsid w:val="000B2EEB"/>
    <w:rsid w:val="000B5610"/>
    <w:rsid w:val="000C05CC"/>
    <w:rsid w:val="000C68B9"/>
    <w:rsid w:val="000E4E8A"/>
    <w:rsid w:val="001725A9"/>
    <w:rsid w:val="00181A1A"/>
    <w:rsid w:val="00195ACA"/>
    <w:rsid w:val="001A7A90"/>
    <w:rsid w:val="001E181D"/>
    <w:rsid w:val="00200964"/>
    <w:rsid w:val="00212B1D"/>
    <w:rsid w:val="00223AB5"/>
    <w:rsid w:val="00271A02"/>
    <w:rsid w:val="002A7493"/>
    <w:rsid w:val="002C3431"/>
    <w:rsid w:val="0031299F"/>
    <w:rsid w:val="0031373B"/>
    <w:rsid w:val="00324128"/>
    <w:rsid w:val="00361E35"/>
    <w:rsid w:val="003664E9"/>
    <w:rsid w:val="003679A1"/>
    <w:rsid w:val="003A42F0"/>
    <w:rsid w:val="003B4AF3"/>
    <w:rsid w:val="003C75C7"/>
    <w:rsid w:val="003D3ACE"/>
    <w:rsid w:val="003D5347"/>
    <w:rsid w:val="003E1F76"/>
    <w:rsid w:val="004078DF"/>
    <w:rsid w:val="00475FD2"/>
    <w:rsid w:val="00485B81"/>
    <w:rsid w:val="00492A2D"/>
    <w:rsid w:val="004E283C"/>
    <w:rsid w:val="004E7185"/>
    <w:rsid w:val="00510D80"/>
    <w:rsid w:val="005279E8"/>
    <w:rsid w:val="005553EF"/>
    <w:rsid w:val="00567E81"/>
    <w:rsid w:val="00591A57"/>
    <w:rsid w:val="00594371"/>
    <w:rsid w:val="005C050C"/>
    <w:rsid w:val="005D0C10"/>
    <w:rsid w:val="005D4F51"/>
    <w:rsid w:val="005D5BE5"/>
    <w:rsid w:val="00617704"/>
    <w:rsid w:val="006303F5"/>
    <w:rsid w:val="00644F63"/>
    <w:rsid w:val="006455A5"/>
    <w:rsid w:val="00683131"/>
    <w:rsid w:val="006A3E34"/>
    <w:rsid w:val="006B2581"/>
    <w:rsid w:val="007000D9"/>
    <w:rsid w:val="00747701"/>
    <w:rsid w:val="007629D3"/>
    <w:rsid w:val="00794616"/>
    <w:rsid w:val="007A11AD"/>
    <w:rsid w:val="007B6E25"/>
    <w:rsid w:val="007F06CC"/>
    <w:rsid w:val="00800593"/>
    <w:rsid w:val="008047DE"/>
    <w:rsid w:val="0080724F"/>
    <w:rsid w:val="00817FD2"/>
    <w:rsid w:val="00842FB3"/>
    <w:rsid w:val="008633FA"/>
    <w:rsid w:val="008655C0"/>
    <w:rsid w:val="008879CB"/>
    <w:rsid w:val="008B7739"/>
    <w:rsid w:val="008D30F9"/>
    <w:rsid w:val="008D53B2"/>
    <w:rsid w:val="008D6AC8"/>
    <w:rsid w:val="00912169"/>
    <w:rsid w:val="009150C5"/>
    <w:rsid w:val="0092037A"/>
    <w:rsid w:val="009228C7"/>
    <w:rsid w:val="009246AD"/>
    <w:rsid w:val="00951CC3"/>
    <w:rsid w:val="00966822"/>
    <w:rsid w:val="009D429C"/>
    <w:rsid w:val="009E74DB"/>
    <w:rsid w:val="009F2E7E"/>
    <w:rsid w:val="009F6BF0"/>
    <w:rsid w:val="00A02D62"/>
    <w:rsid w:val="00A20EB5"/>
    <w:rsid w:val="00A27949"/>
    <w:rsid w:val="00A368EC"/>
    <w:rsid w:val="00A764EF"/>
    <w:rsid w:val="00AB34C5"/>
    <w:rsid w:val="00AF4F6D"/>
    <w:rsid w:val="00AF7F6A"/>
    <w:rsid w:val="00B054E6"/>
    <w:rsid w:val="00B05A88"/>
    <w:rsid w:val="00B44641"/>
    <w:rsid w:val="00B5256D"/>
    <w:rsid w:val="00B7618D"/>
    <w:rsid w:val="00BA0A12"/>
    <w:rsid w:val="00BD2C44"/>
    <w:rsid w:val="00C10EE0"/>
    <w:rsid w:val="00C12556"/>
    <w:rsid w:val="00C320F8"/>
    <w:rsid w:val="00C6170A"/>
    <w:rsid w:val="00CA1C3C"/>
    <w:rsid w:val="00CA5ACB"/>
    <w:rsid w:val="00CC6CA2"/>
    <w:rsid w:val="00D318E5"/>
    <w:rsid w:val="00D32E24"/>
    <w:rsid w:val="00D449D0"/>
    <w:rsid w:val="00DD1440"/>
    <w:rsid w:val="00DD6DBB"/>
    <w:rsid w:val="00DE4DFF"/>
    <w:rsid w:val="00E074F2"/>
    <w:rsid w:val="00E52A95"/>
    <w:rsid w:val="00E91482"/>
    <w:rsid w:val="00E96302"/>
    <w:rsid w:val="00EF00BD"/>
    <w:rsid w:val="00F004C7"/>
    <w:rsid w:val="00F134F5"/>
    <w:rsid w:val="00F13EEF"/>
    <w:rsid w:val="00F348CD"/>
    <w:rsid w:val="00F47B85"/>
    <w:rsid w:val="00F54BDD"/>
    <w:rsid w:val="00F5645C"/>
    <w:rsid w:val="00F8724A"/>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5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aconcuadrcula">
    <w:name w:val="Table Grid"/>
    <w:basedOn w:val="Tablanormal"/>
    <w:uiPriority w:val="39"/>
    <w:rsid w:val="00594371"/>
    <w:rPr>
      <w:rFonts w:asciiTheme="minorHAnsi" w:eastAsia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594371"/>
    <w:pPr>
      <w:tabs>
        <w:tab w:val="left" w:pos="384"/>
      </w:tabs>
      <w:spacing w:after="0"/>
      <w:ind w:left="384" w:hanging="384"/>
      <w:jc w:val="left"/>
    </w:pPr>
    <w:rPr>
      <w:rFonts w:asciiTheme="minorHAnsi" w:eastAsiaTheme="minorHAnsi" w:hAnsiTheme="minorHAnsi" w:cstheme="minorBidi"/>
      <w:sz w:val="22"/>
      <w:szCs w:val="22"/>
      <w:lang w:val="es-ES"/>
    </w:rPr>
  </w:style>
  <w:style w:type="character" w:customStyle="1" w:styleId="Mencinsinresolver1">
    <w:name w:val="Mención sin resolver1"/>
    <w:basedOn w:val="Fuentedeprrafopredeter"/>
    <w:uiPriority w:val="99"/>
    <w:semiHidden/>
    <w:unhideWhenUsed/>
    <w:rsid w:val="00485B81"/>
    <w:rPr>
      <w:color w:val="605E5C"/>
      <w:shd w:val="clear" w:color="auto" w:fill="E1DFDD"/>
    </w:rPr>
  </w:style>
  <w:style w:type="paragraph" w:styleId="Revisin">
    <w:name w:val="Revision"/>
    <w:hidden/>
    <w:uiPriority w:val="99"/>
    <w:semiHidden/>
    <w:rsid w:val="004078DF"/>
    <w:rPr>
      <w:rFonts w:ascii="Times" w:hAnsi="Times"/>
      <w:sz w:val="24"/>
    </w:rPr>
  </w:style>
  <w:style w:type="character" w:styleId="Refdecomentario">
    <w:name w:val="annotation reference"/>
    <w:basedOn w:val="Fuentedeprrafopredeter"/>
    <w:semiHidden/>
    <w:unhideWhenUsed/>
    <w:rsid w:val="004078DF"/>
    <w:rPr>
      <w:sz w:val="16"/>
      <w:szCs w:val="16"/>
    </w:rPr>
  </w:style>
  <w:style w:type="paragraph" w:styleId="Textocomentario">
    <w:name w:val="annotation text"/>
    <w:basedOn w:val="Normal"/>
    <w:link w:val="TextocomentarioCar"/>
    <w:uiPriority w:val="99"/>
    <w:unhideWhenUsed/>
    <w:rsid w:val="004078DF"/>
    <w:rPr>
      <w:sz w:val="20"/>
    </w:rPr>
  </w:style>
  <w:style w:type="character" w:customStyle="1" w:styleId="TextocomentarioCar">
    <w:name w:val="Texto comentario Car"/>
    <w:basedOn w:val="Fuentedeprrafopredeter"/>
    <w:link w:val="Textocomentario"/>
    <w:uiPriority w:val="99"/>
    <w:rsid w:val="004078DF"/>
    <w:rPr>
      <w:rFonts w:ascii="Times" w:hAnsi="Times"/>
    </w:rPr>
  </w:style>
  <w:style w:type="paragraph" w:styleId="Asuntodelcomentario">
    <w:name w:val="annotation subject"/>
    <w:basedOn w:val="Textocomentario"/>
    <w:next w:val="Textocomentario"/>
    <w:link w:val="AsuntodelcomentarioCar"/>
    <w:semiHidden/>
    <w:unhideWhenUsed/>
    <w:rsid w:val="004078DF"/>
    <w:rPr>
      <w:b/>
      <w:bCs/>
    </w:rPr>
  </w:style>
  <w:style w:type="character" w:customStyle="1" w:styleId="AsuntodelcomentarioCar">
    <w:name w:val="Asunto del comentario Car"/>
    <w:basedOn w:val="TextocomentarioCar"/>
    <w:link w:val="Asuntodelcomentario"/>
    <w:semiHidden/>
    <w:rsid w:val="004078DF"/>
    <w:rPr>
      <w:rFonts w:ascii="Times" w:hAnsi="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aconcuadrcula">
    <w:name w:val="Table Grid"/>
    <w:basedOn w:val="Tablanormal"/>
    <w:uiPriority w:val="39"/>
    <w:rsid w:val="00594371"/>
    <w:rPr>
      <w:rFonts w:asciiTheme="minorHAnsi" w:eastAsia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594371"/>
    <w:pPr>
      <w:tabs>
        <w:tab w:val="left" w:pos="384"/>
      </w:tabs>
      <w:spacing w:after="0"/>
      <w:ind w:left="384" w:hanging="384"/>
      <w:jc w:val="left"/>
    </w:pPr>
    <w:rPr>
      <w:rFonts w:asciiTheme="minorHAnsi" w:eastAsiaTheme="minorHAnsi" w:hAnsiTheme="minorHAnsi" w:cstheme="minorBidi"/>
      <w:sz w:val="22"/>
      <w:szCs w:val="22"/>
      <w:lang w:val="es-ES"/>
    </w:rPr>
  </w:style>
  <w:style w:type="character" w:customStyle="1" w:styleId="Mencinsinresolver1">
    <w:name w:val="Mención sin resolver1"/>
    <w:basedOn w:val="Fuentedeprrafopredeter"/>
    <w:uiPriority w:val="99"/>
    <w:semiHidden/>
    <w:unhideWhenUsed/>
    <w:rsid w:val="00485B81"/>
    <w:rPr>
      <w:color w:val="605E5C"/>
      <w:shd w:val="clear" w:color="auto" w:fill="E1DFDD"/>
    </w:rPr>
  </w:style>
  <w:style w:type="paragraph" w:styleId="Revisin">
    <w:name w:val="Revision"/>
    <w:hidden/>
    <w:uiPriority w:val="99"/>
    <w:semiHidden/>
    <w:rsid w:val="004078DF"/>
    <w:rPr>
      <w:rFonts w:ascii="Times" w:hAnsi="Times"/>
      <w:sz w:val="24"/>
    </w:rPr>
  </w:style>
  <w:style w:type="character" w:styleId="Refdecomentario">
    <w:name w:val="annotation reference"/>
    <w:basedOn w:val="Fuentedeprrafopredeter"/>
    <w:semiHidden/>
    <w:unhideWhenUsed/>
    <w:rsid w:val="004078DF"/>
    <w:rPr>
      <w:sz w:val="16"/>
      <w:szCs w:val="16"/>
    </w:rPr>
  </w:style>
  <w:style w:type="paragraph" w:styleId="Textocomentario">
    <w:name w:val="annotation text"/>
    <w:basedOn w:val="Normal"/>
    <w:link w:val="TextocomentarioCar"/>
    <w:uiPriority w:val="99"/>
    <w:unhideWhenUsed/>
    <w:rsid w:val="004078DF"/>
    <w:rPr>
      <w:sz w:val="20"/>
    </w:rPr>
  </w:style>
  <w:style w:type="character" w:customStyle="1" w:styleId="TextocomentarioCar">
    <w:name w:val="Texto comentario Car"/>
    <w:basedOn w:val="Fuentedeprrafopredeter"/>
    <w:link w:val="Textocomentario"/>
    <w:uiPriority w:val="99"/>
    <w:rsid w:val="004078DF"/>
    <w:rPr>
      <w:rFonts w:ascii="Times" w:hAnsi="Times"/>
    </w:rPr>
  </w:style>
  <w:style w:type="paragraph" w:styleId="Asuntodelcomentario">
    <w:name w:val="annotation subject"/>
    <w:basedOn w:val="Textocomentario"/>
    <w:next w:val="Textocomentario"/>
    <w:link w:val="AsuntodelcomentarioCar"/>
    <w:semiHidden/>
    <w:unhideWhenUsed/>
    <w:rsid w:val="004078DF"/>
    <w:rPr>
      <w:b/>
      <w:bCs/>
    </w:rPr>
  </w:style>
  <w:style w:type="character" w:customStyle="1" w:styleId="AsuntodelcomentarioCar">
    <w:name w:val="Asunto del comentario Car"/>
    <w:basedOn w:val="TextocomentarioCar"/>
    <w:link w:val="Asuntodelcomentario"/>
    <w:semiHidden/>
    <w:rsid w:val="004078DF"/>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maser@icb.csic.es"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Plantillas%20personalizadas%20de%20Office\Template_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Template_ACS Journals.dotx</Template>
  <TotalTime>2</TotalTime>
  <Pages>13</Pages>
  <Words>2579</Words>
  <Characters>14189</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16735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wmaser</dc:creator>
  <cp:lastModifiedBy>usuario</cp:lastModifiedBy>
  <cp:revision>2</cp:revision>
  <cp:lastPrinted>2023-06-02T12:23:00Z</cp:lastPrinted>
  <dcterms:created xsi:type="dcterms:W3CDTF">2023-10-30T19:25:00Z</dcterms:created>
  <dcterms:modified xsi:type="dcterms:W3CDTF">2023-10-30T19:25:00Z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id="QZvs9yvW"/&gt;&lt;style id="http://www.zotero.org/styles/dyes-and-pigments" hasBibliography="1" bibliographyStyleHasBeenSet="1"/&gt;&lt;prefs&gt;&lt;pref name="fieldType" value="Field"/&gt;&lt;/prefs&gt;&lt;/data&gt;</vt:lpwstr>
  </property>
</Properties>
</file>