
<file path=[Content_Types].xml><?xml version="1.0" encoding="utf-8"?>
<Types xmlns="http://schemas.openxmlformats.org/package/2006/content-types">
  <Default Extension="emf" ContentType="image/x-emf"/>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246AD" w:rsidRPr="00A51A7C" w:rsidRDefault="000272BB" w:rsidP="00AB34C5">
      <w:pPr>
        <w:pStyle w:val="BATitle"/>
        <w:jc w:val="left"/>
        <w:rPr>
          <w:rFonts w:ascii="Times" w:hAnsi="Times" w:cs="Times"/>
        </w:rPr>
      </w:pPr>
      <w:r w:rsidRPr="00A51A7C">
        <w:rPr>
          <w:rFonts w:ascii="Times" w:hAnsi="Times" w:cs="Times"/>
        </w:rPr>
        <w:t>Neutron</w:t>
      </w:r>
      <w:r w:rsidRPr="00A51A7C">
        <w:rPr>
          <w:rFonts w:ascii="Times" w:hAnsi="Times" w:cs="Times"/>
          <w:szCs w:val="44"/>
        </w:rPr>
        <w:t xml:space="preserve"> Activated </w:t>
      </w:r>
      <w:r w:rsidRPr="00A51A7C">
        <w:rPr>
          <w:rFonts w:ascii="Times" w:hAnsi="Times" w:cs="Times"/>
          <w:szCs w:val="44"/>
          <w:vertAlign w:val="superscript"/>
        </w:rPr>
        <w:t>153</w:t>
      </w:r>
      <w:r w:rsidRPr="00A51A7C">
        <w:rPr>
          <w:rFonts w:ascii="Times" w:hAnsi="Times" w:cs="Times"/>
          <w:szCs w:val="44"/>
        </w:rPr>
        <w:t xml:space="preserve">Sm Sealed in Carbon Nanocapsules for </w:t>
      </w:r>
      <w:r w:rsidRPr="00A51A7C">
        <w:rPr>
          <w:rFonts w:ascii="Times" w:hAnsi="Times" w:cs="Times"/>
          <w:i/>
          <w:szCs w:val="44"/>
        </w:rPr>
        <w:t>In Vivo</w:t>
      </w:r>
      <w:r w:rsidRPr="00A51A7C">
        <w:rPr>
          <w:rFonts w:ascii="Times" w:hAnsi="Times" w:cs="Times"/>
          <w:szCs w:val="44"/>
        </w:rPr>
        <w:t xml:space="preserve"> Imaging and </w:t>
      </w:r>
      <w:r w:rsidR="00AF1BBA" w:rsidRPr="00A51A7C">
        <w:rPr>
          <w:rFonts w:ascii="Times" w:hAnsi="Times" w:cs="Times"/>
          <w:szCs w:val="44"/>
        </w:rPr>
        <w:t>Tumor</w:t>
      </w:r>
      <w:r w:rsidRPr="00A51A7C">
        <w:rPr>
          <w:rFonts w:ascii="Times" w:hAnsi="Times" w:cs="Times"/>
          <w:szCs w:val="44"/>
        </w:rPr>
        <w:t xml:space="preserve"> Radiotherapy</w:t>
      </w:r>
    </w:p>
    <w:p w:rsidR="000272BB" w:rsidRPr="00A51A7C" w:rsidRDefault="000272BB" w:rsidP="00AB34C5">
      <w:pPr>
        <w:pStyle w:val="BCAuthorAddress"/>
        <w:jc w:val="left"/>
        <w:rPr>
          <w:rFonts w:cs="Times"/>
          <w:bCs/>
          <w:i/>
          <w:szCs w:val="24"/>
          <w:lang w:eastAsia="ar-SA"/>
        </w:rPr>
      </w:pPr>
      <w:r w:rsidRPr="00A51A7C">
        <w:rPr>
          <w:rFonts w:cs="Times"/>
          <w:i/>
          <w:szCs w:val="24"/>
        </w:rPr>
        <w:t xml:space="preserve">Julie T.-W. </w:t>
      </w:r>
      <w:proofErr w:type="spellStart"/>
      <w:r w:rsidRPr="00A51A7C">
        <w:rPr>
          <w:rFonts w:cs="Times"/>
          <w:i/>
          <w:szCs w:val="24"/>
        </w:rPr>
        <w:t>Wang</w:t>
      </w:r>
      <w:r w:rsidRPr="00A51A7C">
        <w:rPr>
          <w:rFonts w:cs="Times"/>
          <w:i/>
          <w:szCs w:val="24"/>
          <w:vertAlign w:val="superscript"/>
        </w:rPr>
        <w:t>a</w:t>
      </w:r>
      <w:proofErr w:type="spellEnd"/>
      <w:r w:rsidRPr="00A51A7C">
        <w:rPr>
          <w:rFonts w:cs="Times"/>
          <w:i/>
          <w:szCs w:val="24"/>
        </w:rPr>
        <w:t xml:space="preserve">, Rebecca </w:t>
      </w:r>
      <w:proofErr w:type="spellStart"/>
      <w:r w:rsidRPr="00A51A7C">
        <w:rPr>
          <w:rFonts w:cs="Times"/>
          <w:i/>
          <w:szCs w:val="24"/>
        </w:rPr>
        <w:t>Klippstein</w:t>
      </w:r>
      <w:r w:rsidRPr="00A51A7C">
        <w:rPr>
          <w:rFonts w:cs="Times"/>
          <w:i/>
          <w:szCs w:val="24"/>
          <w:vertAlign w:val="superscript"/>
        </w:rPr>
        <w:t>a</w:t>
      </w:r>
      <w:proofErr w:type="spellEnd"/>
      <w:r w:rsidRPr="00A51A7C">
        <w:rPr>
          <w:rFonts w:cs="Times"/>
          <w:i/>
          <w:szCs w:val="24"/>
        </w:rPr>
        <w:t xml:space="preserve">, Markus </w:t>
      </w:r>
      <w:proofErr w:type="spellStart"/>
      <w:r w:rsidRPr="00A51A7C">
        <w:rPr>
          <w:rFonts w:cs="Times"/>
          <w:i/>
          <w:szCs w:val="24"/>
        </w:rPr>
        <w:t>Martincic</w:t>
      </w:r>
      <w:r w:rsidRPr="00A51A7C">
        <w:rPr>
          <w:rFonts w:cs="Times"/>
          <w:i/>
          <w:szCs w:val="24"/>
          <w:vertAlign w:val="superscript"/>
        </w:rPr>
        <w:t>b</w:t>
      </w:r>
      <w:proofErr w:type="spellEnd"/>
      <w:r w:rsidRPr="00A51A7C">
        <w:rPr>
          <w:rFonts w:cs="Times"/>
          <w:i/>
          <w:szCs w:val="24"/>
        </w:rPr>
        <w:t xml:space="preserve">, </w:t>
      </w:r>
      <w:proofErr w:type="spellStart"/>
      <w:r w:rsidRPr="00A51A7C">
        <w:rPr>
          <w:rFonts w:cs="Times"/>
          <w:i/>
          <w:szCs w:val="24"/>
        </w:rPr>
        <w:t>Elzbieta</w:t>
      </w:r>
      <w:proofErr w:type="spellEnd"/>
      <w:r w:rsidRPr="00A51A7C">
        <w:rPr>
          <w:rFonts w:cs="Times"/>
          <w:i/>
          <w:szCs w:val="24"/>
        </w:rPr>
        <w:t xml:space="preserve"> </w:t>
      </w:r>
      <w:proofErr w:type="spellStart"/>
      <w:r w:rsidRPr="00A51A7C">
        <w:rPr>
          <w:rFonts w:cs="Times"/>
          <w:i/>
          <w:szCs w:val="24"/>
        </w:rPr>
        <w:t>Pach</w:t>
      </w:r>
      <w:r w:rsidRPr="00A51A7C">
        <w:rPr>
          <w:rFonts w:cs="Times"/>
          <w:i/>
          <w:szCs w:val="24"/>
          <w:vertAlign w:val="superscript"/>
        </w:rPr>
        <w:t>c</w:t>
      </w:r>
      <w:proofErr w:type="spellEnd"/>
      <w:r w:rsidRPr="00A51A7C">
        <w:rPr>
          <w:rFonts w:cs="Times"/>
          <w:i/>
          <w:szCs w:val="24"/>
        </w:rPr>
        <w:t xml:space="preserve">, Robert </w:t>
      </w:r>
      <w:proofErr w:type="spellStart"/>
      <w:r w:rsidRPr="00A51A7C">
        <w:rPr>
          <w:rFonts w:cs="Times"/>
          <w:i/>
          <w:szCs w:val="24"/>
        </w:rPr>
        <w:t>Feldman</w:t>
      </w:r>
      <w:r w:rsidRPr="00A51A7C">
        <w:rPr>
          <w:rFonts w:cs="Times"/>
          <w:i/>
          <w:szCs w:val="24"/>
          <w:vertAlign w:val="superscript"/>
        </w:rPr>
        <w:t>d</w:t>
      </w:r>
      <w:proofErr w:type="spellEnd"/>
      <w:r w:rsidRPr="00A51A7C">
        <w:rPr>
          <w:rFonts w:cs="Times"/>
          <w:i/>
          <w:szCs w:val="24"/>
        </w:rPr>
        <w:t xml:space="preserve">, Martin </w:t>
      </w:r>
      <w:proofErr w:type="spellStart"/>
      <w:r w:rsidR="00E263E6" w:rsidRPr="00A51A7C">
        <w:rPr>
          <w:rFonts w:cs="Times"/>
          <w:i/>
          <w:szCs w:val="24"/>
        </w:rPr>
        <w:t>Š</w:t>
      </w:r>
      <w:r w:rsidRPr="00A51A7C">
        <w:rPr>
          <w:rFonts w:cs="Times"/>
          <w:i/>
          <w:szCs w:val="24"/>
        </w:rPr>
        <w:t>efl</w:t>
      </w:r>
      <w:r w:rsidRPr="00A51A7C">
        <w:rPr>
          <w:rFonts w:cs="Times"/>
          <w:i/>
          <w:szCs w:val="24"/>
          <w:vertAlign w:val="superscript"/>
        </w:rPr>
        <w:t>e,f</w:t>
      </w:r>
      <w:proofErr w:type="spellEnd"/>
      <w:r w:rsidRPr="00A51A7C">
        <w:rPr>
          <w:rFonts w:cs="Times"/>
          <w:i/>
          <w:szCs w:val="24"/>
        </w:rPr>
        <w:t xml:space="preserve">, Yves </w:t>
      </w:r>
      <w:proofErr w:type="spellStart"/>
      <w:r w:rsidRPr="00A51A7C">
        <w:rPr>
          <w:rFonts w:cs="Times"/>
          <w:i/>
          <w:szCs w:val="24"/>
        </w:rPr>
        <w:t>Michel</w:t>
      </w:r>
      <w:r w:rsidRPr="00A51A7C">
        <w:rPr>
          <w:rFonts w:cs="Times"/>
          <w:i/>
          <w:szCs w:val="24"/>
          <w:vertAlign w:val="superscript"/>
        </w:rPr>
        <w:t>d</w:t>
      </w:r>
      <w:proofErr w:type="spellEnd"/>
      <w:r w:rsidRPr="00A51A7C">
        <w:rPr>
          <w:rFonts w:cs="Times"/>
          <w:i/>
          <w:szCs w:val="24"/>
        </w:rPr>
        <w:t xml:space="preserve">, Daniel </w:t>
      </w:r>
      <w:proofErr w:type="spellStart"/>
      <w:r w:rsidRPr="00A51A7C">
        <w:rPr>
          <w:rFonts w:cs="Times"/>
          <w:i/>
          <w:szCs w:val="24"/>
        </w:rPr>
        <w:t>Asker</w:t>
      </w:r>
      <w:r w:rsidRPr="00A51A7C">
        <w:rPr>
          <w:rFonts w:cs="Times"/>
          <w:i/>
          <w:szCs w:val="24"/>
          <w:vertAlign w:val="superscript"/>
        </w:rPr>
        <w:t>a</w:t>
      </w:r>
      <w:proofErr w:type="spellEnd"/>
      <w:r w:rsidRPr="00A51A7C">
        <w:rPr>
          <w:rFonts w:cs="Times"/>
          <w:i/>
          <w:szCs w:val="24"/>
        </w:rPr>
        <w:t xml:space="preserve">, Jane K. </w:t>
      </w:r>
      <w:proofErr w:type="spellStart"/>
      <w:r w:rsidRPr="00A51A7C">
        <w:rPr>
          <w:rFonts w:cs="Times"/>
          <w:i/>
          <w:szCs w:val="24"/>
        </w:rPr>
        <w:t>Sosabowski</w:t>
      </w:r>
      <w:r w:rsidRPr="00A51A7C">
        <w:rPr>
          <w:rFonts w:cs="Times"/>
          <w:i/>
          <w:szCs w:val="24"/>
          <w:vertAlign w:val="superscript"/>
        </w:rPr>
        <w:t>g</w:t>
      </w:r>
      <w:proofErr w:type="spellEnd"/>
      <w:r w:rsidRPr="00A51A7C">
        <w:rPr>
          <w:rFonts w:cs="Times"/>
          <w:i/>
          <w:szCs w:val="24"/>
        </w:rPr>
        <w:t xml:space="preserve">, Martin </w:t>
      </w:r>
      <w:proofErr w:type="spellStart"/>
      <w:r w:rsidRPr="00A51A7C">
        <w:rPr>
          <w:rFonts w:cs="Times"/>
          <w:i/>
          <w:szCs w:val="24"/>
        </w:rPr>
        <w:t>Kalbac</w:t>
      </w:r>
      <w:r w:rsidRPr="00A51A7C">
        <w:rPr>
          <w:rFonts w:cs="Times"/>
          <w:i/>
          <w:szCs w:val="24"/>
          <w:vertAlign w:val="superscript"/>
        </w:rPr>
        <w:t>h</w:t>
      </w:r>
      <w:proofErr w:type="spellEnd"/>
      <w:r w:rsidRPr="00A51A7C">
        <w:rPr>
          <w:rFonts w:cs="Times"/>
          <w:i/>
          <w:szCs w:val="24"/>
        </w:rPr>
        <w:t xml:space="preserve">, Tatiana Da </w:t>
      </w:r>
      <w:proofErr w:type="spellStart"/>
      <w:r w:rsidRPr="00A51A7C">
        <w:rPr>
          <w:rFonts w:cs="Times"/>
          <w:i/>
          <w:szCs w:val="24"/>
        </w:rPr>
        <w:t>Ros</w:t>
      </w:r>
      <w:r w:rsidRPr="00A51A7C">
        <w:rPr>
          <w:rFonts w:cs="Times"/>
          <w:i/>
          <w:szCs w:val="24"/>
          <w:vertAlign w:val="superscript"/>
        </w:rPr>
        <w:t>i</w:t>
      </w:r>
      <w:proofErr w:type="spellEnd"/>
      <w:r w:rsidRPr="00A51A7C">
        <w:rPr>
          <w:rFonts w:cs="Times"/>
          <w:i/>
          <w:szCs w:val="24"/>
        </w:rPr>
        <w:t xml:space="preserve">, </w:t>
      </w:r>
      <w:proofErr w:type="spellStart"/>
      <w:r w:rsidRPr="00A51A7C">
        <w:rPr>
          <w:rFonts w:cs="Times"/>
          <w:i/>
          <w:szCs w:val="24"/>
        </w:rPr>
        <w:t>Cécilia</w:t>
      </w:r>
      <w:proofErr w:type="spellEnd"/>
      <w:r w:rsidRPr="00A51A7C">
        <w:rPr>
          <w:rFonts w:cs="Times"/>
          <w:i/>
          <w:szCs w:val="24"/>
        </w:rPr>
        <w:t xml:space="preserve"> </w:t>
      </w:r>
      <w:proofErr w:type="spellStart"/>
      <w:r w:rsidRPr="00A51A7C">
        <w:rPr>
          <w:rFonts w:cs="Times"/>
          <w:i/>
          <w:szCs w:val="24"/>
        </w:rPr>
        <w:t>Ménard-Moyon</w:t>
      </w:r>
      <w:r w:rsidRPr="00A51A7C">
        <w:rPr>
          <w:rFonts w:cs="Times"/>
          <w:i/>
          <w:szCs w:val="24"/>
          <w:vertAlign w:val="superscript"/>
        </w:rPr>
        <w:t>j</w:t>
      </w:r>
      <w:proofErr w:type="spellEnd"/>
      <w:r w:rsidRPr="00A51A7C">
        <w:rPr>
          <w:rFonts w:cs="Times"/>
          <w:i/>
          <w:szCs w:val="24"/>
        </w:rPr>
        <w:t xml:space="preserve">, Alberto </w:t>
      </w:r>
      <w:proofErr w:type="spellStart"/>
      <w:r w:rsidRPr="00A51A7C">
        <w:rPr>
          <w:rFonts w:cs="Times"/>
          <w:i/>
          <w:szCs w:val="24"/>
        </w:rPr>
        <w:t>Bianco</w:t>
      </w:r>
      <w:r w:rsidRPr="00A51A7C">
        <w:rPr>
          <w:rFonts w:cs="Times"/>
          <w:i/>
          <w:szCs w:val="24"/>
          <w:vertAlign w:val="superscript"/>
        </w:rPr>
        <w:t>j</w:t>
      </w:r>
      <w:proofErr w:type="spellEnd"/>
      <w:r w:rsidRPr="00A51A7C">
        <w:rPr>
          <w:rFonts w:cs="Times"/>
          <w:i/>
          <w:szCs w:val="24"/>
        </w:rPr>
        <w:t xml:space="preserve">, </w:t>
      </w:r>
      <w:proofErr w:type="spellStart"/>
      <w:r w:rsidRPr="00A51A7C">
        <w:rPr>
          <w:rFonts w:cs="Times"/>
          <w:i/>
          <w:szCs w:val="24"/>
        </w:rPr>
        <w:t>Ioanna</w:t>
      </w:r>
      <w:proofErr w:type="spellEnd"/>
      <w:r w:rsidRPr="00A51A7C">
        <w:rPr>
          <w:rFonts w:cs="Times"/>
          <w:i/>
          <w:szCs w:val="24"/>
        </w:rPr>
        <w:t xml:space="preserve"> </w:t>
      </w:r>
      <w:proofErr w:type="spellStart"/>
      <w:r w:rsidRPr="00A51A7C">
        <w:rPr>
          <w:rFonts w:cs="Times"/>
          <w:i/>
          <w:szCs w:val="24"/>
        </w:rPr>
        <w:t>Kyriakou</w:t>
      </w:r>
      <w:r w:rsidRPr="00A51A7C">
        <w:rPr>
          <w:rFonts w:cs="Times"/>
          <w:i/>
          <w:szCs w:val="24"/>
          <w:vertAlign w:val="superscript"/>
        </w:rPr>
        <w:t>e</w:t>
      </w:r>
      <w:proofErr w:type="spellEnd"/>
      <w:r w:rsidRPr="00A51A7C">
        <w:rPr>
          <w:rFonts w:cs="Times"/>
          <w:i/>
          <w:szCs w:val="24"/>
        </w:rPr>
        <w:t xml:space="preserve">, Dimitris </w:t>
      </w:r>
      <w:proofErr w:type="spellStart"/>
      <w:r w:rsidRPr="00A51A7C">
        <w:rPr>
          <w:rFonts w:cs="Times"/>
          <w:i/>
          <w:szCs w:val="24"/>
        </w:rPr>
        <w:t>Emfietzoglou</w:t>
      </w:r>
      <w:r w:rsidRPr="00A51A7C">
        <w:rPr>
          <w:rFonts w:cs="Times"/>
          <w:i/>
          <w:szCs w:val="24"/>
          <w:vertAlign w:val="superscript"/>
        </w:rPr>
        <w:t>e</w:t>
      </w:r>
      <w:proofErr w:type="spellEnd"/>
      <w:r w:rsidRPr="00A51A7C">
        <w:rPr>
          <w:rFonts w:cs="Times"/>
          <w:i/>
          <w:szCs w:val="24"/>
        </w:rPr>
        <w:t xml:space="preserve">, Jean-Claude </w:t>
      </w:r>
      <w:proofErr w:type="spellStart"/>
      <w:r w:rsidRPr="00A51A7C">
        <w:rPr>
          <w:rFonts w:cs="Times"/>
          <w:i/>
          <w:szCs w:val="24"/>
        </w:rPr>
        <w:t>Saccavini</w:t>
      </w:r>
      <w:r w:rsidRPr="00A51A7C">
        <w:rPr>
          <w:rFonts w:cs="Times"/>
          <w:i/>
          <w:szCs w:val="24"/>
          <w:vertAlign w:val="superscript"/>
        </w:rPr>
        <w:t>d</w:t>
      </w:r>
      <w:proofErr w:type="spellEnd"/>
      <w:r w:rsidRPr="00A51A7C">
        <w:rPr>
          <w:rFonts w:cs="Times"/>
          <w:i/>
          <w:szCs w:val="24"/>
        </w:rPr>
        <w:t xml:space="preserve">, </w:t>
      </w:r>
      <w:proofErr w:type="spellStart"/>
      <w:r w:rsidRPr="00A51A7C">
        <w:rPr>
          <w:rFonts w:cs="Times"/>
          <w:i/>
          <w:szCs w:val="24"/>
        </w:rPr>
        <w:t>Belén</w:t>
      </w:r>
      <w:proofErr w:type="spellEnd"/>
      <w:r w:rsidRPr="00A51A7C">
        <w:rPr>
          <w:rFonts w:cs="Times"/>
          <w:i/>
          <w:szCs w:val="24"/>
        </w:rPr>
        <w:t xml:space="preserve"> </w:t>
      </w:r>
      <w:proofErr w:type="spellStart"/>
      <w:r w:rsidRPr="00A51A7C">
        <w:rPr>
          <w:rFonts w:cs="Times"/>
          <w:i/>
          <w:szCs w:val="24"/>
        </w:rPr>
        <w:t>Ballesteros</w:t>
      </w:r>
      <w:r w:rsidRPr="00A51A7C">
        <w:rPr>
          <w:rFonts w:cs="Times"/>
          <w:i/>
          <w:szCs w:val="24"/>
          <w:vertAlign w:val="superscript"/>
        </w:rPr>
        <w:t>c</w:t>
      </w:r>
      <w:proofErr w:type="spellEnd"/>
      <w:r w:rsidR="00412E81" w:rsidRPr="00A51A7C">
        <w:rPr>
          <w:rFonts w:cs="Times"/>
          <w:i/>
          <w:szCs w:val="24"/>
          <w:vertAlign w:val="superscript"/>
        </w:rPr>
        <w:t>,</w:t>
      </w:r>
      <w:r w:rsidR="00412E81" w:rsidRPr="00A51A7C">
        <w:rPr>
          <w:rFonts w:cs="Times"/>
          <w:i/>
          <w:szCs w:val="24"/>
        </w:rPr>
        <w:t>*</w:t>
      </w:r>
      <w:r w:rsidRPr="00A51A7C">
        <w:rPr>
          <w:rFonts w:cs="Times"/>
          <w:i/>
          <w:szCs w:val="24"/>
        </w:rPr>
        <w:t xml:space="preserve">, </w:t>
      </w:r>
      <w:proofErr w:type="spellStart"/>
      <w:r w:rsidRPr="00A51A7C">
        <w:rPr>
          <w:rFonts w:cs="Times"/>
          <w:i/>
          <w:szCs w:val="24"/>
        </w:rPr>
        <w:t>Khuloud</w:t>
      </w:r>
      <w:proofErr w:type="spellEnd"/>
      <w:r w:rsidRPr="00A51A7C">
        <w:rPr>
          <w:rFonts w:cs="Times"/>
          <w:i/>
          <w:szCs w:val="24"/>
        </w:rPr>
        <w:t xml:space="preserve"> T. Al-</w:t>
      </w:r>
      <w:proofErr w:type="spellStart"/>
      <w:r w:rsidRPr="00A51A7C">
        <w:rPr>
          <w:rFonts w:cs="Times"/>
          <w:i/>
          <w:szCs w:val="24"/>
        </w:rPr>
        <w:t>Jamal</w:t>
      </w:r>
      <w:r w:rsidRPr="00A51A7C">
        <w:rPr>
          <w:rFonts w:cs="Times"/>
          <w:i/>
          <w:szCs w:val="24"/>
          <w:vertAlign w:val="superscript"/>
        </w:rPr>
        <w:t>a</w:t>
      </w:r>
      <w:proofErr w:type="spellEnd"/>
      <w:r w:rsidRPr="00A51A7C">
        <w:rPr>
          <w:rFonts w:cs="Times"/>
          <w:i/>
          <w:szCs w:val="24"/>
          <w:vertAlign w:val="superscript"/>
        </w:rPr>
        <w:t>,</w:t>
      </w:r>
      <w:r w:rsidRPr="00A51A7C">
        <w:rPr>
          <w:rFonts w:cs="Times"/>
          <w:i/>
          <w:szCs w:val="24"/>
        </w:rPr>
        <w:t xml:space="preserve">* and </w:t>
      </w:r>
      <w:r w:rsidRPr="00A51A7C">
        <w:rPr>
          <w:rFonts w:cs="Times"/>
          <w:bCs/>
          <w:i/>
          <w:szCs w:val="24"/>
          <w:lang w:eastAsia="ar-SA"/>
        </w:rPr>
        <w:t xml:space="preserve">Gerard </w:t>
      </w:r>
      <w:proofErr w:type="spellStart"/>
      <w:r w:rsidRPr="00A51A7C">
        <w:rPr>
          <w:rFonts w:cs="Times"/>
          <w:bCs/>
          <w:i/>
          <w:szCs w:val="24"/>
          <w:lang w:eastAsia="ar-SA"/>
        </w:rPr>
        <w:t>Tobias</w:t>
      </w:r>
      <w:r w:rsidRPr="00A51A7C">
        <w:rPr>
          <w:rFonts w:cs="Times"/>
          <w:bCs/>
          <w:i/>
          <w:szCs w:val="24"/>
          <w:vertAlign w:val="superscript"/>
          <w:lang w:eastAsia="ar-SA"/>
        </w:rPr>
        <w:t>b</w:t>
      </w:r>
      <w:proofErr w:type="spellEnd"/>
      <w:r w:rsidRPr="00A51A7C">
        <w:rPr>
          <w:rFonts w:cs="Times"/>
          <w:bCs/>
          <w:i/>
          <w:szCs w:val="24"/>
          <w:vertAlign w:val="superscript"/>
          <w:lang w:eastAsia="ar-SA"/>
        </w:rPr>
        <w:t>,</w:t>
      </w:r>
      <w:r w:rsidRPr="00A51A7C">
        <w:rPr>
          <w:rFonts w:cs="Times"/>
          <w:bCs/>
          <w:i/>
          <w:szCs w:val="24"/>
          <w:lang w:eastAsia="ar-SA"/>
        </w:rPr>
        <w:t>*</w:t>
      </w:r>
    </w:p>
    <w:p w:rsidR="000272BB" w:rsidRPr="00A51A7C" w:rsidRDefault="000272BB" w:rsidP="000272BB">
      <w:pPr>
        <w:pStyle w:val="BCAuthorAddress"/>
        <w:jc w:val="left"/>
        <w:rPr>
          <w:rFonts w:cs="Times"/>
        </w:rPr>
      </w:pPr>
      <w:proofErr w:type="spellStart"/>
      <w:proofErr w:type="gramStart"/>
      <w:r w:rsidRPr="00A51A7C">
        <w:rPr>
          <w:rFonts w:cs="Times"/>
          <w:vertAlign w:val="superscript"/>
        </w:rPr>
        <w:t>a</w:t>
      </w:r>
      <w:r w:rsidRPr="00A51A7C">
        <w:rPr>
          <w:rFonts w:cs="Times"/>
        </w:rPr>
        <w:t>Institute</w:t>
      </w:r>
      <w:proofErr w:type="spellEnd"/>
      <w:proofErr w:type="gramEnd"/>
      <w:r w:rsidRPr="00A51A7C">
        <w:rPr>
          <w:rFonts w:cs="Times"/>
        </w:rPr>
        <w:t xml:space="preserve"> of Pharmaceutical Science, King’s College London, London SE1 9NH, UK</w:t>
      </w:r>
    </w:p>
    <w:p w:rsidR="000272BB" w:rsidRPr="00A51A7C" w:rsidRDefault="000272BB" w:rsidP="000272BB">
      <w:pPr>
        <w:pStyle w:val="BCAuthorAddress"/>
        <w:jc w:val="left"/>
        <w:rPr>
          <w:rFonts w:cs="Times"/>
          <w:lang w:val="es-ES_tradnl"/>
        </w:rPr>
      </w:pPr>
      <w:proofErr w:type="spellStart"/>
      <w:r w:rsidRPr="00A51A7C">
        <w:rPr>
          <w:rFonts w:cs="Times"/>
          <w:vertAlign w:val="superscript"/>
          <w:lang w:val="es-ES_tradnl"/>
        </w:rPr>
        <w:t>b</w:t>
      </w:r>
      <w:r w:rsidRPr="00A51A7C">
        <w:rPr>
          <w:rFonts w:cs="Times"/>
          <w:lang w:val="es-ES_tradnl"/>
        </w:rPr>
        <w:t>Institut</w:t>
      </w:r>
      <w:proofErr w:type="spellEnd"/>
      <w:r w:rsidRPr="00A51A7C">
        <w:rPr>
          <w:rFonts w:cs="Times"/>
          <w:lang w:val="es-ES_tradnl"/>
        </w:rPr>
        <w:t xml:space="preserve"> de </w:t>
      </w:r>
      <w:proofErr w:type="spellStart"/>
      <w:r w:rsidRPr="00A51A7C">
        <w:rPr>
          <w:rFonts w:cs="Times"/>
          <w:lang w:val="es-ES_tradnl"/>
        </w:rPr>
        <w:t>Ciència</w:t>
      </w:r>
      <w:proofErr w:type="spellEnd"/>
      <w:r w:rsidRPr="00A51A7C">
        <w:rPr>
          <w:rFonts w:cs="Times"/>
          <w:lang w:val="es-ES_tradnl"/>
        </w:rPr>
        <w:t xml:space="preserve"> de </w:t>
      </w:r>
      <w:proofErr w:type="spellStart"/>
      <w:r w:rsidRPr="00A51A7C">
        <w:rPr>
          <w:rFonts w:cs="Times"/>
          <w:lang w:val="es-ES_tradnl"/>
        </w:rPr>
        <w:t>Materials</w:t>
      </w:r>
      <w:proofErr w:type="spellEnd"/>
      <w:r w:rsidRPr="00A51A7C">
        <w:rPr>
          <w:rFonts w:cs="Times"/>
          <w:lang w:val="es-ES_tradnl"/>
        </w:rPr>
        <w:t xml:space="preserve"> de Barcelona (ICMAB-CSIC), Campus UAB, 08193 </w:t>
      </w:r>
      <w:proofErr w:type="spellStart"/>
      <w:r w:rsidRPr="00A51A7C">
        <w:rPr>
          <w:rFonts w:cs="Times"/>
          <w:lang w:val="es-ES_tradnl"/>
        </w:rPr>
        <w:t>Bellaterra</w:t>
      </w:r>
      <w:proofErr w:type="spellEnd"/>
      <w:r w:rsidRPr="00A51A7C">
        <w:rPr>
          <w:rFonts w:cs="Times"/>
          <w:lang w:val="es-ES_tradnl"/>
        </w:rPr>
        <w:t xml:space="preserve">, Barcelona, </w:t>
      </w:r>
      <w:proofErr w:type="spellStart"/>
      <w:r w:rsidRPr="00A51A7C">
        <w:rPr>
          <w:rFonts w:cs="Times"/>
          <w:lang w:val="es-ES_tradnl"/>
        </w:rPr>
        <w:t>Spain</w:t>
      </w:r>
      <w:proofErr w:type="spellEnd"/>
    </w:p>
    <w:p w:rsidR="000272BB" w:rsidRPr="00A51A7C" w:rsidRDefault="000272BB" w:rsidP="000272BB">
      <w:pPr>
        <w:pStyle w:val="BCAuthorAddress"/>
        <w:jc w:val="left"/>
        <w:rPr>
          <w:rFonts w:cs="Times"/>
        </w:rPr>
      </w:pPr>
      <w:proofErr w:type="spellStart"/>
      <w:proofErr w:type="gramStart"/>
      <w:r w:rsidRPr="00A51A7C">
        <w:rPr>
          <w:rFonts w:cs="Times"/>
          <w:vertAlign w:val="superscript"/>
        </w:rPr>
        <w:t>c</w:t>
      </w:r>
      <w:r w:rsidRPr="00A51A7C">
        <w:rPr>
          <w:rFonts w:cs="Times"/>
        </w:rPr>
        <w:t>Catalan</w:t>
      </w:r>
      <w:proofErr w:type="spellEnd"/>
      <w:proofErr w:type="gramEnd"/>
      <w:r w:rsidRPr="00A51A7C">
        <w:rPr>
          <w:rFonts w:cs="Times"/>
        </w:rPr>
        <w:t xml:space="preserve"> Institute of Nanoscience and Nanotechnology (ICN2), CSIC and the Barcelona Institute of Science and Technology, Campus UAB, 08193 </w:t>
      </w:r>
      <w:proofErr w:type="spellStart"/>
      <w:r w:rsidRPr="00A51A7C">
        <w:rPr>
          <w:rFonts w:cs="Times"/>
        </w:rPr>
        <w:t>Bellaterra</w:t>
      </w:r>
      <w:proofErr w:type="spellEnd"/>
      <w:r w:rsidRPr="00A51A7C">
        <w:rPr>
          <w:rFonts w:cs="Times"/>
        </w:rPr>
        <w:t>, Barcelona, Spain</w:t>
      </w:r>
    </w:p>
    <w:p w:rsidR="000272BB" w:rsidRPr="00A51A7C" w:rsidRDefault="000272BB" w:rsidP="000272BB">
      <w:pPr>
        <w:pStyle w:val="BCAuthorAddress"/>
        <w:jc w:val="left"/>
        <w:rPr>
          <w:rFonts w:cs="Times"/>
        </w:rPr>
      </w:pPr>
      <w:proofErr w:type="spellStart"/>
      <w:proofErr w:type="gramStart"/>
      <w:r w:rsidRPr="00A51A7C">
        <w:rPr>
          <w:rFonts w:cs="Times"/>
          <w:vertAlign w:val="superscript"/>
        </w:rPr>
        <w:t>d</w:t>
      </w:r>
      <w:r w:rsidRPr="00A51A7C">
        <w:rPr>
          <w:rFonts w:cs="Times"/>
        </w:rPr>
        <w:t>Cis</w:t>
      </w:r>
      <w:proofErr w:type="spellEnd"/>
      <w:proofErr w:type="gramEnd"/>
      <w:r w:rsidRPr="00A51A7C">
        <w:rPr>
          <w:rFonts w:cs="Times"/>
        </w:rPr>
        <w:t xml:space="preserve"> Bio International Ion Beam Applications SA, Gif sur Yvette 91192, France</w:t>
      </w:r>
    </w:p>
    <w:p w:rsidR="000272BB" w:rsidRPr="00A51A7C" w:rsidRDefault="000272BB" w:rsidP="000272BB">
      <w:pPr>
        <w:pStyle w:val="BCAuthorAddress"/>
        <w:jc w:val="left"/>
        <w:rPr>
          <w:rFonts w:cs="Times"/>
        </w:rPr>
      </w:pPr>
      <w:proofErr w:type="spellStart"/>
      <w:proofErr w:type="gramStart"/>
      <w:r w:rsidRPr="00A51A7C">
        <w:rPr>
          <w:rFonts w:cs="Times"/>
          <w:vertAlign w:val="superscript"/>
        </w:rPr>
        <w:t>e</w:t>
      </w:r>
      <w:r w:rsidRPr="00A51A7C">
        <w:rPr>
          <w:rFonts w:cs="Times"/>
        </w:rPr>
        <w:t>Medical</w:t>
      </w:r>
      <w:proofErr w:type="spellEnd"/>
      <w:proofErr w:type="gramEnd"/>
      <w:r w:rsidRPr="00A51A7C">
        <w:rPr>
          <w:rFonts w:cs="Times"/>
        </w:rPr>
        <w:t xml:space="preserve"> Physics Laboratory, University of Ioannina Medical School, Ioannina GR-45110, Greece</w:t>
      </w:r>
    </w:p>
    <w:p w:rsidR="000272BB" w:rsidRPr="00A51A7C" w:rsidRDefault="000272BB" w:rsidP="000272BB">
      <w:pPr>
        <w:pStyle w:val="BCAuthorAddress"/>
        <w:jc w:val="left"/>
        <w:rPr>
          <w:rFonts w:cs="Times"/>
        </w:rPr>
      </w:pPr>
      <w:proofErr w:type="spellStart"/>
      <w:proofErr w:type="gramStart"/>
      <w:r w:rsidRPr="00A51A7C">
        <w:rPr>
          <w:rFonts w:cs="Times"/>
          <w:vertAlign w:val="superscript"/>
        </w:rPr>
        <w:lastRenderedPageBreak/>
        <w:t>f</w:t>
      </w:r>
      <w:r w:rsidRPr="00A51A7C">
        <w:rPr>
          <w:rFonts w:cs="Times"/>
        </w:rPr>
        <w:t>Faculty</w:t>
      </w:r>
      <w:proofErr w:type="spellEnd"/>
      <w:proofErr w:type="gramEnd"/>
      <w:r w:rsidRPr="00A51A7C">
        <w:rPr>
          <w:rFonts w:cs="Times"/>
        </w:rPr>
        <w:t xml:space="preserve"> of Nuclear Sciences and Physical Engineering, Czech Technical University in Prague, Prague 11519, Czech Republic</w:t>
      </w:r>
    </w:p>
    <w:p w:rsidR="000272BB" w:rsidRPr="00A51A7C" w:rsidRDefault="000272BB" w:rsidP="000272BB">
      <w:pPr>
        <w:pStyle w:val="BCAuthorAddress"/>
        <w:jc w:val="left"/>
        <w:rPr>
          <w:rFonts w:cs="Times"/>
        </w:rPr>
      </w:pPr>
      <w:proofErr w:type="spellStart"/>
      <w:proofErr w:type="gramStart"/>
      <w:r w:rsidRPr="00A51A7C">
        <w:rPr>
          <w:rFonts w:cs="Times"/>
          <w:vertAlign w:val="superscript"/>
        </w:rPr>
        <w:t>g</w:t>
      </w:r>
      <w:r w:rsidRPr="00A51A7C">
        <w:rPr>
          <w:rFonts w:cs="Times"/>
        </w:rPr>
        <w:t>Centre</w:t>
      </w:r>
      <w:proofErr w:type="spellEnd"/>
      <w:proofErr w:type="gramEnd"/>
      <w:r w:rsidRPr="00A51A7C">
        <w:rPr>
          <w:rFonts w:cs="Times"/>
        </w:rPr>
        <w:t xml:space="preserve"> for Molecular Oncology, </w:t>
      </w:r>
      <w:proofErr w:type="spellStart"/>
      <w:r w:rsidRPr="00A51A7C">
        <w:rPr>
          <w:rFonts w:cs="Times"/>
        </w:rPr>
        <w:t>Barts</w:t>
      </w:r>
      <w:proofErr w:type="spellEnd"/>
      <w:r w:rsidRPr="00A51A7C">
        <w:rPr>
          <w:rFonts w:cs="Times"/>
        </w:rPr>
        <w:t xml:space="preserve"> Cancer Institute, Queen Mary University of London, London EC1M 6BQ, UK</w:t>
      </w:r>
    </w:p>
    <w:p w:rsidR="000272BB" w:rsidRPr="00A51A7C" w:rsidRDefault="000272BB" w:rsidP="000272BB">
      <w:pPr>
        <w:pStyle w:val="BCAuthorAddress"/>
        <w:jc w:val="left"/>
        <w:rPr>
          <w:rFonts w:cs="Times"/>
        </w:rPr>
      </w:pPr>
      <w:proofErr w:type="spellStart"/>
      <w:proofErr w:type="gramStart"/>
      <w:r w:rsidRPr="00A51A7C">
        <w:rPr>
          <w:rFonts w:cs="Times"/>
          <w:vertAlign w:val="superscript"/>
        </w:rPr>
        <w:t>h</w:t>
      </w:r>
      <w:r w:rsidRPr="00A51A7C">
        <w:rPr>
          <w:rFonts w:cs="Times"/>
        </w:rPr>
        <w:t>J</w:t>
      </w:r>
      <w:proofErr w:type="spellEnd"/>
      <w:proofErr w:type="gramEnd"/>
      <w:r w:rsidRPr="00A51A7C">
        <w:rPr>
          <w:rFonts w:cs="Times"/>
        </w:rPr>
        <w:t xml:space="preserve">. Heyrovsky Institute of the Physical Chemistry, </w:t>
      </w:r>
      <w:proofErr w:type="spellStart"/>
      <w:r w:rsidRPr="00A51A7C">
        <w:rPr>
          <w:rFonts w:cs="Times"/>
        </w:rPr>
        <w:t>Dolejskova</w:t>
      </w:r>
      <w:proofErr w:type="spellEnd"/>
      <w:r w:rsidRPr="00A51A7C">
        <w:rPr>
          <w:rFonts w:cs="Times"/>
        </w:rPr>
        <w:t xml:space="preserve"> 3, 182 23 Prague 8, Czech Republic</w:t>
      </w:r>
    </w:p>
    <w:p w:rsidR="000272BB" w:rsidRPr="00A51A7C" w:rsidRDefault="000272BB" w:rsidP="000272BB">
      <w:pPr>
        <w:pStyle w:val="BCAuthorAddress"/>
        <w:jc w:val="left"/>
        <w:rPr>
          <w:rFonts w:cs="Times"/>
        </w:rPr>
      </w:pPr>
      <w:proofErr w:type="spellStart"/>
      <w:r w:rsidRPr="00A51A7C">
        <w:rPr>
          <w:rFonts w:cs="Times"/>
          <w:vertAlign w:val="superscript"/>
        </w:rPr>
        <w:t>i</w:t>
      </w:r>
      <w:r w:rsidRPr="00A51A7C">
        <w:rPr>
          <w:rFonts w:cs="Times"/>
        </w:rPr>
        <w:t>INSTM</w:t>
      </w:r>
      <w:proofErr w:type="spellEnd"/>
      <w:r w:rsidRPr="00A51A7C">
        <w:rPr>
          <w:rFonts w:cs="Times"/>
        </w:rPr>
        <w:t xml:space="preserve"> Unit of Trieste, Department of Chemical and Pharmaceutical Sciences, University of Trieste, Via L. </w:t>
      </w:r>
      <w:proofErr w:type="spellStart"/>
      <w:r w:rsidRPr="00A51A7C">
        <w:rPr>
          <w:rFonts w:cs="Times"/>
        </w:rPr>
        <w:t>Giorgieri</w:t>
      </w:r>
      <w:proofErr w:type="spellEnd"/>
      <w:r w:rsidRPr="00A51A7C">
        <w:rPr>
          <w:rFonts w:cs="Times"/>
        </w:rPr>
        <w:t xml:space="preserve"> 1, 34127 Trieste, Italy</w:t>
      </w:r>
    </w:p>
    <w:p w:rsidR="000272BB" w:rsidRPr="00A51A7C" w:rsidRDefault="000272BB" w:rsidP="000272BB">
      <w:pPr>
        <w:pStyle w:val="BCAuthorAddress"/>
        <w:jc w:val="left"/>
        <w:rPr>
          <w:rFonts w:cs="Times"/>
        </w:rPr>
      </w:pPr>
      <w:proofErr w:type="spellStart"/>
      <w:proofErr w:type="gramStart"/>
      <w:r w:rsidRPr="00A51A7C">
        <w:rPr>
          <w:rFonts w:cs="Times"/>
          <w:vertAlign w:val="superscript"/>
        </w:rPr>
        <w:t>j</w:t>
      </w:r>
      <w:r w:rsidRPr="00A51A7C">
        <w:rPr>
          <w:rFonts w:cs="Times"/>
        </w:rPr>
        <w:t>University</w:t>
      </w:r>
      <w:proofErr w:type="spellEnd"/>
      <w:proofErr w:type="gramEnd"/>
      <w:r w:rsidRPr="00A51A7C">
        <w:rPr>
          <w:rFonts w:cs="Times"/>
        </w:rPr>
        <w:t xml:space="preserve"> of Strasbourg, CNRS, Immunology, Immunopathology and Therapeutic Chemistry, UPR 3572, 67000 Strasbourg, France.</w:t>
      </w:r>
    </w:p>
    <w:p w:rsidR="000272BB" w:rsidRPr="00A51A7C" w:rsidRDefault="000272BB" w:rsidP="00683131">
      <w:pPr>
        <w:pStyle w:val="FACorrespondingAuthorFootnote"/>
        <w:spacing w:after="0"/>
        <w:jc w:val="left"/>
        <w:rPr>
          <w:rFonts w:cs="Times"/>
        </w:rPr>
      </w:pPr>
    </w:p>
    <w:p w:rsidR="002E0E8C" w:rsidRPr="00A51A7C" w:rsidRDefault="002E0E8C" w:rsidP="002E0E8C">
      <w:pPr>
        <w:pStyle w:val="TAMainText"/>
        <w:rPr>
          <w:rFonts w:cs="Times"/>
        </w:rPr>
      </w:pPr>
    </w:p>
    <w:p w:rsidR="002E0E8C" w:rsidRPr="00A51A7C" w:rsidRDefault="002E0E8C" w:rsidP="002E0E8C">
      <w:pPr>
        <w:pStyle w:val="TAMainText"/>
        <w:rPr>
          <w:rFonts w:cs="Times"/>
        </w:rPr>
      </w:pPr>
    </w:p>
    <w:p w:rsidR="002E0E8C" w:rsidRPr="00A51A7C" w:rsidRDefault="002E0E8C" w:rsidP="002E0E8C">
      <w:pPr>
        <w:pStyle w:val="TAMainText"/>
        <w:rPr>
          <w:rFonts w:cs="Times"/>
        </w:rPr>
      </w:pPr>
    </w:p>
    <w:p w:rsidR="002E0E8C" w:rsidRPr="00A51A7C" w:rsidRDefault="002E0E8C" w:rsidP="002E0E8C">
      <w:pPr>
        <w:pStyle w:val="TAMainText"/>
        <w:rPr>
          <w:rFonts w:cs="Times"/>
        </w:rPr>
      </w:pPr>
    </w:p>
    <w:p w:rsidR="002E0E8C" w:rsidRPr="00A51A7C" w:rsidRDefault="002E0E8C" w:rsidP="002E0E8C">
      <w:pPr>
        <w:pStyle w:val="TAMainText"/>
        <w:rPr>
          <w:rFonts w:cs="Times"/>
        </w:rPr>
      </w:pPr>
    </w:p>
    <w:p w:rsidR="002E0E8C" w:rsidRPr="00A51A7C" w:rsidRDefault="002E0E8C" w:rsidP="002E0E8C">
      <w:pPr>
        <w:pStyle w:val="TAMainText"/>
        <w:rPr>
          <w:rFonts w:cs="Times"/>
        </w:rPr>
      </w:pPr>
    </w:p>
    <w:p w:rsidR="002E0E8C" w:rsidRPr="00A51A7C" w:rsidRDefault="002E0E8C" w:rsidP="002E0E8C">
      <w:pPr>
        <w:pStyle w:val="TAMainText"/>
        <w:rPr>
          <w:rFonts w:cs="Times"/>
        </w:rPr>
      </w:pPr>
    </w:p>
    <w:p w:rsidR="002E0E8C" w:rsidRPr="00A51A7C" w:rsidRDefault="002E0E8C" w:rsidP="002E0E8C">
      <w:pPr>
        <w:pStyle w:val="TAMainText"/>
        <w:rPr>
          <w:rFonts w:cs="Times"/>
        </w:rPr>
      </w:pPr>
    </w:p>
    <w:p w:rsidR="000272BB" w:rsidRPr="00A51A7C" w:rsidRDefault="000272BB" w:rsidP="000272BB">
      <w:pPr>
        <w:pStyle w:val="BIEmailAddress"/>
        <w:rPr>
          <w:rFonts w:cs="Times"/>
        </w:rPr>
      </w:pPr>
      <w:r w:rsidRPr="00A51A7C">
        <w:rPr>
          <w:rFonts w:cs="Times"/>
        </w:rPr>
        <w:t>*Corresponding authors E-mail: gerard.tobias@icmab.es, khuloud.al-jamal@kcl.ac.uk, belen.ballesteros@icn2.cat.</w:t>
      </w:r>
    </w:p>
    <w:p w:rsidR="00683131" w:rsidRPr="00A51A7C" w:rsidRDefault="000B54A2" w:rsidP="00683131">
      <w:pPr>
        <w:pStyle w:val="BDAbstract"/>
        <w:rPr>
          <w:rFonts w:cs="Times"/>
        </w:rPr>
      </w:pPr>
      <w:r w:rsidRPr="00A51A7C">
        <w:rPr>
          <w:rFonts w:cs="Times"/>
        </w:rPr>
        <w:lastRenderedPageBreak/>
        <w:t xml:space="preserve">ABSTRACT: </w:t>
      </w:r>
      <w:r w:rsidR="000272BB" w:rsidRPr="00A51A7C">
        <w:rPr>
          <w:rFonts w:cs="Times"/>
        </w:rPr>
        <w:t xml:space="preserve">Radiation therapy along with chemotherapy and surgery remain the main cancer treatments. Radiotherapy can be applied to patients externally (external beam radiotherapy) or internally (brachytherapy and radioisotope therapy).  Previously, </w:t>
      </w:r>
      <w:proofErr w:type="spellStart"/>
      <w:r w:rsidR="000272BB" w:rsidRPr="00A51A7C">
        <w:rPr>
          <w:rFonts w:cs="Times"/>
        </w:rPr>
        <w:t>nanoencapsulation</w:t>
      </w:r>
      <w:proofErr w:type="spellEnd"/>
      <w:r w:rsidR="000272BB" w:rsidRPr="00A51A7C">
        <w:rPr>
          <w:rFonts w:cs="Times"/>
        </w:rPr>
        <w:t xml:space="preserve"> of radioactive crystals within carbon nanotubes, followed by end-closing, resulted in the formation of nanocapsules that allowed ultrasensitive imaging in healthy mice. Herein we report on the preparation of nanocapsules initially sealing ‘cold’ isotopically enriched samarium (</w:t>
      </w:r>
      <w:r w:rsidR="000272BB" w:rsidRPr="00A51A7C">
        <w:rPr>
          <w:rFonts w:cs="Times"/>
          <w:vertAlign w:val="superscript"/>
        </w:rPr>
        <w:t>152</w:t>
      </w:r>
      <w:r w:rsidR="000272BB" w:rsidRPr="00A51A7C">
        <w:rPr>
          <w:rFonts w:cs="Times"/>
        </w:rPr>
        <w:t>Sm), which can then be activated on demand to their ‘hot’ radioactive form (</w:t>
      </w:r>
      <w:r w:rsidR="000272BB" w:rsidRPr="00A51A7C">
        <w:rPr>
          <w:rFonts w:cs="Times"/>
          <w:vertAlign w:val="superscript"/>
        </w:rPr>
        <w:t>153</w:t>
      </w:r>
      <w:r w:rsidR="000272BB" w:rsidRPr="00A51A7C">
        <w:rPr>
          <w:rFonts w:cs="Times"/>
        </w:rPr>
        <w:t>Sm) by neutron irradiation.</w:t>
      </w:r>
      <w:r w:rsidR="000272BB" w:rsidRPr="00A51A7C">
        <w:rPr>
          <w:rFonts w:cs="Times"/>
          <w:vertAlign w:val="subscript"/>
        </w:rPr>
        <w:t xml:space="preserve"> </w:t>
      </w:r>
      <w:r w:rsidR="000272BB" w:rsidRPr="00A51A7C">
        <w:rPr>
          <w:rFonts w:cs="Times"/>
        </w:rPr>
        <w:t xml:space="preserve">The use of ‘cold’ isotopes avoids the need for radioactive facilities during the preparation of the nanocapsules, reduces radiation exposure to personnel, prevents the generation of nuclear waste and evades the time constraints imposed by the decay of radionuclides. A </w:t>
      </w:r>
      <w:r w:rsidR="00734ACC" w:rsidRPr="00A51A7C">
        <w:rPr>
          <w:rFonts w:cs="Times"/>
        </w:rPr>
        <w:t xml:space="preserve">very </w:t>
      </w:r>
      <w:r w:rsidR="000272BB" w:rsidRPr="00A51A7C">
        <w:rPr>
          <w:rFonts w:cs="Times"/>
        </w:rPr>
        <w:t>high specific radioactivity is achieved by neutron irradiation</w:t>
      </w:r>
      <w:r w:rsidR="00D807B4" w:rsidRPr="00A51A7C">
        <w:rPr>
          <w:rFonts w:cs="Times"/>
        </w:rPr>
        <w:t xml:space="preserve"> </w:t>
      </w:r>
      <w:r w:rsidR="00D807B4" w:rsidRPr="00A51A7C">
        <w:rPr>
          <w:rFonts w:cs="Times"/>
          <w:bCs/>
        </w:rPr>
        <w:t xml:space="preserve">(up to </w:t>
      </w:r>
      <w:r w:rsidR="00D807B4" w:rsidRPr="00A51A7C">
        <w:rPr>
          <w:rFonts w:cs="Times"/>
        </w:rPr>
        <w:t xml:space="preserve">11.37 </w:t>
      </w:r>
      <w:proofErr w:type="spellStart"/>
      <w:r w:rsidR="00D807B4" w:rsidRPr="00A51A7C">
        <w:rPr>
          <w:rFonts w:cs="Times"/>
          <w:bCs/>
        </w:rPr>
        <w:t>GBq</w:t>
      </w:r>
      <w:proofErr w:type="spellEnd"/>
      <w:r w:rsidR="00D807B4" w:rsidRPr="00A51A7C">
        <w:rPr>
          <w:rFonts w:cs="Times"/>
          <w:bCs/>
        </w:rPr>
        <w:t>/mg)</w:t>
      </w:r>
      <w:r w:rsidR="000272BB" w:rsidRPr="00A51A7C">
        <w:rPr>
          <w:rFonts w:cs="Times"/>
        </w:rPr>
        <w:t>, making the ‘hot’ nanocapsules useful not only for</w:t>
      </w:r>
      <w:r w:rsidR="000272BB" w:rsidRPr="00A51A7C">
        <w:rPr>
          <w:rFonts w:cs="Times"/>
          <w:i/>
        </w:rPr>
        <w:t xml:space="preserve"> in vivo</w:t>
      </w:r>
      <w:r w:rsidR="000272BB" w:rsidRPr="00A51A7C">
        <w:rPr>
          <w:rFonts w:cs="Times"/>
        </w:rPr>
        <w:t xml:space="preserve"> imaging but also therapeutically effective against lung cancer metastases after intravenous injection. The high </w:t>
      </w:r>
      <w:r w:rsidR="000272BB" w:rsidRPr="00A51A7C">
        <w:rPr>
          <w:rFonts w:cs="Times"/>
          <w:i/>
        </w:rPr>
        <w:t>in vivo</w:t>
      </w:r>
      <w:r w:rsidR="000272BB" w:rsidRPr="00A51A7C">
        <w:rPr>
          <w:rFonts w:cs="Times"/>
        </w:rPr>
        <w:t xml:space="preserve"> stability of the radioactive payload, selective toxicity to cancerous tissues and the elegant preparation method offer a paradigm for application of nanomaterials in radiotherapy.</w:t>
      </w:r>
    </w:p>
    <w:p w:rsidR="00AB34C5" w:rsidRPr="00A51A7C" w:rsidRDefault="00AB34C5" w:rsidP="000702AD">
      <w:pPr>
        <w:pStyle w:val="BGKeywords"/>
        <w:rPr>
          <w:rFonts w:cs="Times"/>
        </w:rPr>
      </w:pPr>
    </w:p>
    <w:p w:rsidR="000272BB" w:rsidRPr="00A51A7C" w:rsidRDefault="000272BB" w:rsidP="000702AD">
      <w:pPr>
        <w:pStyle w:val="BGKeywords"/>
        <w:rPr>
          <w:rFonts w:cs="Times"/>
        </w:rPr>
      </w:pPr>
    </w:p>
    <w:p w:rsidR="000272BB" w:rsidRPr="00A51A7C" w:rsidRDefault="000272BB" w:rsidP="000702AD">
      <w:pPr>
        <w:pStyle w:val="BGKeywords"/>
        <w:rPr>
          <w:rFonts w:cs="Times"/>
        </w:rPr>
      </w:pPr>
    </w:p>
    <w:p w:rsidR="000B54A2" w:rsidRPr="00A51A7C" w:rsidRDefault="000B54A2" w:rsidP="000702AD">
      <w:pPr>
        <w:pStyle w:val="BGKeywords"/>
        <w:rPr>
          <w:rFonts w:cs="Times"/>
        </w:rPr>
      </w:pPr>
    </w:p>
    <w:p w:rsidR="000B54A2" w:rsidRPr="00A51A7C" w:rsidRDefault="000B54A2" w:rsidP="000702AD">
      <w:pPr>
        <w:pStyle w:val="BGKeywords"/>
        <w:rPr>
          <w:rFonts w:cs="Times"/>
        </w:rPr>
      </w:pPr>
      <w:r w:rsidRPr="00A51A7C">
        <w:rPr>
          <w:rFonts w:cs="Times"/>
        </w:rPr>
        <w:t xml:space="preserve">KEYWORDS: </w:t>
      </w:r>
      <w:r w:rsidRPr="00A51A7C">
        <w:rPr>
          <w:rFonts w:cs="Times"/>
          <w:bCs/>
        </w:rPr>
        <w:t>c</w:t>
      </w:r>
      <w:r w:rsidR="00B42E83" w:rsidRPr="00A51A7C">
        <w:rPr>
          <w:rFonts w:cs="Times"/>
          <w:bCs/>
        </w:rPr>
        <w:t xml:space="preserve">ancer therapy, nuclear imaging, </w:t>
      </w:r>
      <w:proofErr w:type="spellStart"/>
      <w:r w:rsidR="00B42E83" w:rsidRPr="00A51A7C">
        <w:rPr>
          <w:rFonts w:cs="Times"/>
          <w:bCs/>
        </w:rPr>
        <w:t>nanoencapsulation</w:t>
      </w:r>
      <w:proofErr w:type="spellEnd"/>
      <w:r w:rsidR="00B42E83" w:rsidRPr="00A51A7C">
        <w:rPr>
          <w:rFonts w:cs="Times"/>
          <w:bCs/>
        </w:rPr>
        <w:t xml:space="preserve">, filled </w:t>
      </w:r>
      <w:r w:rsidRPr="00A51A7C">
        <w:rPr>
          <w:rFonts w:cs="Times"/>
          <w:bCs/>
        </w:rPr>
        <w:t>carbon nanotubes</w:t>
      </w:r>
      <w:r w:rsidR="00B42E83" w:rsidRPr="00A51A7C">
        <w:rPr>
          <w:rFonts w:cs="Times"/>
          <w:bCs/>
        </w:rPr>
        <w:t xml:space="preserve">, </w:t>
      </w:r>
      <w:proofErr w:type="spellStart"/>
      <w:r w:rsidR="00B42E83" w:rsidRPr="00A51A7C">
        <w:rPr>
          <w:rFonts w:cs="Times"/>
          <w:bCs/>
        </w:rPr>
        <w:t>radiooncology</w:t>
      </w:r>
      <w:proofErr w:type="spellEnd"/>
      <w:r w:rsidR="00B42E83" w:rsidRPr="00A51A7C">
        <w:rPr>
          <w:rFonts w:cs="Times"/>
          <w:bCs/>
        </w:rPr>
        <w:t xml:space="preserve">, </w:t>
      </w:r>
      <w:proofErr w:type="spellStart"/>
      <w:r w:rsidR="00B42E83" w:rsidRPr="00A51A7C">
        <w:rPr>
          <w:rFonts w:cs="Times"/>
          <w:bCs/>
        </w:rPr>
        <w:t>nanooncology</w:t>
      </w:r>
      <w:proofErr w:type="spellEnd"/>
      <w:r w:rsidRPr="00A51A7C">
        <w:rPr>
          <w:rFonts w:cs="Times"/>
        </w:rPr>
        <w:t>.</w:t>
      </w:r>
    </w:p>
    <w:p w:rsidR="000B54A2" w:rsidRPr="00A51A7C" w:rsidRDefault="000B54A2" w:rsidP="00D658CB">
      <w:pPr>
        <w:spacing w:after="0" w:line="480" w:lineRule="auto"/>
        <w:ind w:firstLine="204"/>
        <w:rPr>
          <w:rFonts w:cs="Times"/>
        </w:rPr>
      </w:pPr>
      <w:r w:rsidRPr="00A51A7C">
        <w:rPr>
          <w:rFonts w:cs="Times"/>
        </w:rPr>
        <w:lastRenderedPageBreak/>
        <w:t xml:space="preserve">Advances of </w:t>
      </w:r>
      <w:proofErr w:type="spellStart"/>
      <w:r w:rsidRPr="00A51A7C">
        <w:rPr>
          <w:rFonts w:cs="Times"/>
        </w:rPr>
        <w:t>nanomedicine</w:t>
      </w:r>
      <w:proofErr w:type="spellEnd"/>
      <w:r w:rsidRPr="00A51A7C">
        <w:rPr>
          <w:rFonts w:cs="Times"/>
        </w:rPr>
        <w:t xml:space="preserve"> in cancer diagnosis and therapy require the production of ‘small’ and ‘smart’ agents that can offer specific targeting, adequate detection sensitivity, efficient therapeutic effects and ideally favorable biocompatibility.</w:t>
      </w:r>
      <w:r w:rsidR="00123F83" w:rsidRPr="00A51A7C">
        <w:rPr>
          <w:rFonts w:cs="Times"/>
          <w:noProof/>
          <w:vertAlign w:val="superscript"/>
        </w:rPr>
        <w:t>1-5</w:t>
      </w:r>
      <w:r w:rsidRPr="00A51A7C">
        <w:rPr>
          <w:rFonts w:cs="Times"/>
        </w:rPr>
        <w:t xml:space="preserve"> Carbon nanotubes (CNTs) have been exploited as delivery systems for </w:t>
      </w:r>
      <w:proofErr w:type="spellStart"/>
      <w:r w:rsidRPr="00A51A7C">
        <w:rPr>
          <w:rFonts w:cs="Times"/>
        </w:rPr>
        <w:t>theranostic</w:t>
      </w:r>
      <w:proofErr w:type="spellEnd"/>
      <w:r w:rsidRPr="00A51A7C">
        <w:rPr>
          <w:rFonts w:cs="Times"/>
        </w:rPr>
        <w:t xml:space="preserve"> applications.</w:t>
      </w:r>
      <w:r w:rsidR="00123F83" w:rsidRPr="00A51A7C">
        <w:rPr>
          <w:rFonts w:cs="Times"/>
          <w:noProof/>
          <w:vertAlign w:val="superscript"/>
        </w:rPr>
        <w:t>6-10</w:t>
      </w:r>
      <w:r w:rsidRPr="00A51A7C">
        <w:rPr>
          <w:rFonts w:cs="Times"/>
        </w:rPr>
        <w:t xml:space="preserve"> Their needle-like structure enables efficient cell penetration.</w:t>
      </w:r>
      <w:r w:rsidR="00123F83" w:rsidRPr="00A51A7C">
        <w:rPr>
          <w:rFonts w:cs="Times"/>
          <w:noProof/>
          <w:vertAlign w:val="superscript"/>
        </w:rPr>
        <w:t>11-14</w:t>
      </w:r>
      <w:r w:rsidRPr="00A51A7C">
        <w:rPr>
          <w:rFonts w:cs="Times"/>
        </w:rPr>
        <w:t xml:space="preserve"> Moreover, a selected </w:t>
      </w:r>
      <w:proofErr w:type="spellStart"/>
      <w:r w:rsidRPr="00A51A7C">
        <w:rPr>
          <w:rFonts w:cs="Times"/>
        </w:rPr>
        <w:t>biomedically</w:t>
      </w:r>
      <w:proofErr w:type="spellEnd"/>
      <w:r w:rsidRPr="00A51A7C">
        <w:rPr>
          <w:rFonts w:cs="Times"/>
        </w:rPr>
        <w:t xml:space="preserve"> relevant payload can be loaded onto the CNT structure either by chemical modification of the largely available external surface (</w:t>
      </w:r>
      <w:proofErr w:type="spellStart"/>
      <w:r w:rsidRPr="00A51A7C">
        <w:rPr>
          <w:rFonts w:cs="Times"/>
        </w:rPr>
        <w:t>exohedral</w:t>
      </w:r>
      <w:proofErr w:type="spellEnd"/>
      <w:r w:rsidRPr="00A51A7C">
        <w:rPr>
          <w:rFonts w:cs="Times"/>
        </w:rPr>
        <w:t>), or by filling their interior space (endohedral). Surface engineering is a more straightforward approach and has been widely investigated.</w:t>
      </w:r>
      <w:r w:rsidR="00667C01" w:rsidRPr="00A51A7C">
        <w:rPr>
          <w:rFonts w:cs="Times"/>
          <w:noProof/>
          <w:vertAlign w:val="superscript"/>
        </w:rPr>
        <w:t>15, 16</w:t>
      </w:r>
      <w:r w:rsidRPr="00A51A7C">
        <w:rPr>
          <w:rFonts w:cs="Times"/>
        </w:rPr>
        <w:t xml:space="preserve"> </w:t>
      </w:r>
      <w:proofErr w:type="gramStart"/>
      <w:r w:rsidRPr="00A51A7C">
        <w:rPr>
          <w:rFonts w:cs="Times"/>
        </w:rPr>
        <w:t>Although</w:t>
      </w:r>
      <w:proofErr w:type="gramEnd"/>
      <w:r w:rsidRPr="00A51A7C">
        <w:rPr>
          <w:rFonts w:cs="Times"/>
        </w:rPr>
        <w:t xml:space="preserve"> less explored, confinement of imaging and therapeutic agents into CNTs is attracting an increased attention.</w:t>
      </w:r>
      <w:r w:rsidR="00667C01" w:rsidRPr="00A51A7C">
        <w:rPr>
          <w:rFonts w:cs="Times"/>
          <w:noProof/>
          <w:vertAlign w:val="superscript"/>
        </w:rPr>
        <w:t>17, 18</w:t>
      </w:r>
      <w:r w:rsidRPr="00A51A7C">
        <w:rPr>
          <w:rFonts w:cs="Times"/>
        </w:rPr>
        <w:t xml:space="preserve"> After encapsulation, the external walls remain available to anchor biocompatible and/or targeting ligands. One advantage of the </w:t>
      </w:r>
      <w:proofErr w:type="spellStart"/>
      <w:r w:rsidRPr="00A51A7C">
        <w:rPr>
          <w:rFonts w:cs="Times"/>
        </w:rPr>
        <w:t>nanoencapsulation</w:t>
      </w:r>
      <w:proofErr w:type="spellEnd"/>
      <w:r w:rsidRPr="00A51A7C">
        <w:rPr>
          <w:rFonts w:cs="Times"/>
        </w:rPr>
        <w:t xml:space="preserve"> approach is the protection that the carbon coating (CNT walls) offers to the encapsulated materials from enzymatic degradation once exposed to biological environment. </w:t>
      </w:r>
      <w:r w:rsidR="00724F3A" w:rsidRPr="00A51A7C">
        <w:rPr>
          <w:rFonts w:cs="Times"/>
        </w:rPr>
        <w:t>It has been already demonstrated that only highly defective, oxidized CNTs are degraded by peroxidases</w:t>
      </w:r>
      <w:r w:rsidR="008D6F3B" w:rsidRPr="00A51A7C">
        <w:rPr>
          <w:rFonts w:cs="Times"/>
        </w:rPr>
        <w:t>.</w:t>
      </w:r>
      <w:r w:rsidR="00667C01" w:rsidRPr="00A51A7C">
        <w:rPr>
          <w:rFonts w:cs="Times"/>
          <w:noProof/>
          <w:vertAlign w:val="superscript"/>
        </w:rPr>
        <w:t>19</w:t>
      </w:r>
      <w:r w:rsidR="008D6F3B" w:rsidRPr="00A51A7C">
        <w:rPr>
          <w:rFonts w:cs="Times"/>
        </w:rPr>
        <w:t xml:space="preserve"> </w:t>
      </w:r>
      <w:r w:rsidRPr="00A51A7C">
        <w:rPr>
          <w:rFonts w:cs="Times"/>
        </w:rPr>
        <w:t>Apart from CNTs, a variety of materials are being employed for the formation of nanocapsules that shield a selected payload.</w:t>
      </w:r>
      <w:r w:rsidR="00667C01" w:rsidRPr="00A51A7C">
        <w:rPr>
          <w:rFonts w:cs="Times"/>
          <w:noProof/>
          <w:vertAlign w:val="superscript"/>
        </w:rPr>
        <w:t>20-24</w:t>
      </w:r>
      <w:r w:rsidRPr="00A51A7C">
        <w:rPr>
          <w:rFonts w:cs="Times"/>
        </w:rPr>
        <w:t xml:space="preserve"> In the vast majority of studies, release of the encapsulated cargo is necessary to achieve a therapeutic effect </w:t>
      </w:r>
      <w:r w:rsidRPr="00A51A7C">
        <w:rPr>
          <w:rFonts w:cs="Times"/>
          <w:i/>
        </w:rPr>
        <w:t xml:space="preserve">via </w:t>
      </w:r>
      <w:r w:rsidRPr="00A51A7C">
        <w:rPr>
          <w:rFonts w:cs="Times"/>
        </w:rPr>
        <w:t>the delivery of bioactive agents such as drugs. This is however not the case for nuclear imaging and targeted radiotherapy applications where departure of the encaged imaging and/or therapeutic radionuclides from the nanocapsule is neither required nor desired. From the library of nanocapsules available, the properties of carbon nanotubes make them unparalleled for the permanent sealing of radionuclides.</w:t>
      </w:r>
      <w:r w:rsidR="00667C01" w:rsidRPr="00A51A7C">
        <w:rPr>
          <w:rFonts w:cs="Times"/>
          <w:noProof/>
          <w:vertAlign w:val="superscript"/>
        </w:rPr>
        <w:t>25-28</w:t>
      </w:r>
      <w:r w:rsidRPr="00A51A7C">
        <w:rPr>
          <w:rFonts w:cs="Times"/>
        </w:rPr>
        <w:t xml:space="preserve"> The graphene shells that constitute the walls of the CNTs can perfectly separate the core from the external environment, forming impermeable nanocapsules when the ends of the CNTs are closed.</w:t>
      </w:r>
      <w:r w:rsidR="00667C01" w:rsidRPr="00A51A7C">
        <w:rPr>
          <w:rFonts w:cs="Times"/>
          <w:noProof/>
          <w:vertAlign w:val="superscript"/>
        </w:rPr>
        <w:t>29, 30</w:t>
      </w:r>
      <w:r w:rsidRPr="00A51A7C">
        <w:rPr>
          <w:rFonts w:cs="Times"/>
        </w:rPr>
        <w:t xml:space="preserve"> </w:t>
      </w:r>
      <w:r w:rsidR="00ED79BE" w:rsidRPr="00A51A7C">
        <w:rPr>
          <w:rFonts w:cs="Times"/>
        </w:rPr>
        <w:t xml:space="preserve">Having closed ends allows the removal of non-encapsulated material, after </w:t>
      </w:r>
      <w:r w:rsidR="00ED79BE" w:rsidRPr="00A51A7C">
        <w:rPr>
          <w:rFonts w:cs="Times"/>
        </w:rPr>
        <w:lastRenderedPageBreak/>
        <w:t>the filling step, under harsh washing conditions</w:t>
      </w:r>
      <w:r w:rsidR="00667C01" w:rsidRPr="00A51A7C">
        <w:rPr>
          <w:rFonts w:cs="Times"/>
          <w:noProof/>
          <w:vertAlign w:val="superscript"/>
        </w:rPr>
        <w:t>31</w:t>
      </w:r>
      <w:r w:rsidR="00ED79BE" w:rsidRPr="00A51A7C">
        <w:rPr>
          <w:rFonts w:cs="Times"/>
        </w:rPr>
        <w:t xml:space="preserve"> and even the retention of gases in their interior.</w:t>
      </w:r>
      <w:r w:rsidR="00667C01" w:rsidRPr="00A51A7C">
        <w:rPr>
          <w:rFonts w:cs="Times"/>
          <w:noProof/>
          <w:vertAlign w:val="superscript"/>
        </w:rPr>
        <w:t>32</w:t>
      </w:r>
      <w:r w:rsidR="00ED79BE" w:rsidRPr="00A51A7C">
        <w:rPr>
          <w:rFonts w:cs="Times"/>
        </w:rPr>
        <w:t xml:space="preserve"> </w:t>
      </w:r>
      <w:r w:rsidRPr="00A51A7C">
        <w:rPr>
          <w:rFonts w:cs="Times"/>
        </w:rPr>
        <w:t>Mutual protection is therefore afforded to both biological systems and the nanotube cargo delivered.</w:t>
      </w:r>
      <w:r w:rsidR="00123F83" w:rsidRPr="00A51A7C">
        <w:rPr>
          <w:rFonts w:cs="Times"/>
          <w:noProof/>
          <w:vertAlign w:val="superscript"/>
        </w:rPr>
        <w:t>7</w:t>
      </w:r>
      <w:r w:rsidR="00095005" w:rsidRPr="00A51A7C">
        <w:rPr>
          <w:rFonts w:cs="Times"/>
        </w:rPr>
        <w:t xml:space="preserve"> </w:t>
      </w:r>
      <w:r w:rsidRPr="00A51A7C">
        <w:rPr>
          <w:rFonts w:cs="Times"/>
        </w:rPr>
        <w:t>When radionuclides are sealed, the action of ionizing particles exerts through the walls of CNTs</w:t>
      </w:r>
      <w:r w:rsidR="00667C01" w:rsidRPr="00A51A7C">
        <w:rPr>
          <w:rFonts w:cs="Times"/>
          <w:noProof/>
          <w:vertAlign w:val="superscript"/>
        </w:rPr>
        <w:t>25, 27, 28</w:t>
      </w:r>
      <w:r w:rsidRPr="00A51A7C">
        <w:rPr>
          <w:rFonts w:cs="Times"/>
        </w:rPr>
        <w:t xml:space="preserve"> and it spans from micron to millimeter distances depending on the characteristics of the chosen isotopes. It is worth noting that the internal radionuclides and external moieties (biocompatible/targeting molecules) can be independently changed thus giving versatility to this approach.</w:t>
      </w:r>
    </w:p>
    <w:p w:rsidR="000B54A2" w:rsidRPr="00A51A7C" w:rsidRDefault="000B54A2" w:rsidP="00D658CB">
      <w:pPr>
        <w:spacing w:after="0" w:line="480" w:lineRule="auto"/>
        <w:ind w:firstLine="204"/>
        <w:rPr>
          <w:rFonts w:cs="Times"/>
        </w:rPr>
      </w:pPr>
      <w:r w:rsidRPr="00A51A7C">
        <w:rPr>
          <w:rFonts w:cs="Times"/>
        </w:rPr>
        <w:t>In current clinical cancer therapy, half of all cancer patients are treated with radiation therapy either alone or combined with other types of therapies. Nanotechnology strategies however have been mainly driven by the use of chemotherapeutic agents. Notwithstanding, there is a growing interest in the development of nanomaterials bearing radioisotopes, since they offer a platform not only for molecular imaging but also to enhance the radiation response of tumors while reducing side effects.</w:t>
      </w:r>
      <w:r w:rsidR="00667C01" w:rsidRPr="00A51A7C">
        <w:rPr>
          <w:rFonts w:cs="Times"/>
          <w:noProof/>
          <w:vertAlign w:val="superscript"/>
        </w:rPr>
        <w:t>33-36</w:t>
      </w:r>
      <w:r w:rsidRPr="00A51A7C">
        <w:rPr>
          <w:rFonts w:cs="Times"/>
        </w:rPr>
        <w:t xml:space="preserve"> CNTs have been shown to deliver positron/γ-</w:t>
      </w:r>
      <w:proofErr w:type="spellStart"/>
      <w:r w:rsidRPr="00A51A7C">
        <w:rPr>
          <w:rFonts w:cs="Times"/>
        </w:rPr>
        <w:t>radioemitters</w:t>
      </w:r>
      <w:proofErr w:type="spellEnd"/>
      <w:r w:rsidRPr="00A51A7C">
        <w:rPr>
          <w:rFonts w:cs="Times"/>
        </w:rPr>
        <w:t xml:space="preserve"> and alpha particles of interest for imaging and therapeutic applications. This has been mainly achieved </w:t>
      </w:r>
      <w:r w:rsidRPr="00A51A7C">
        <w:rPr>
          <w:rFonts w:cs="Times"/>
          <w:i/>
        </w:rPr>
        <w:t>via</w:t>
      </w:r>
      <w:r w:rsidRPr="00A51A7C">
        <w:rPr>
          <w:rFonts w:cs="Times"/>
        </w:rPr>
        <w:t xml:space="preserve"> chelation of radionuclides onto the external walls</w:t>
      </w:r>
      <w:r w:rsidR="00667C01" w:rsidRPr="00A51A7C">
        <w:rPr>
          <w:rFonts w:cs="Times"/>
          <w:noProof/>
          <w:vertAlign w:val="superscript"/>
        </w:rPr>
        <w:t>37-39</w:t>
      </w:r>
      <w:r w:rsidRPr="00A51A7C">
        <w:rPr>
          <w:rFonts w:cs="Times"/>
        </w:rPr>
        <w:t xml:space="preserve"> although the impregnation of radionuclides onto highly defective CNTs, which can be regarded as mesoporous materials, has also been investigated by Wilson </w:t>
      </w:r>
      <w:proofErr w:type="gramStart"/>
      <w:r w:rsidRPr="00A51A7C">
        <w:rPr>
          <w:rFonts w:cs="Times"/>
          <w:i/>
        </w:rPr>
        <w:t>et</w:t>
      </w:r>
      <w:proofErr w:type="gramEnd"/>
      <w:r w:rsidRPr="00A51A7C">
        <w:rPr>
          <w:rFonts w:cs="Times"/>
          <w:i/>
        </w:rPr>
        <w:t xml:space="preserve"> al.</w:t>
      </w:r>
      <w:r w:rsidR="00667C01" w:rsidRPr="00A51A7C">
        <w:rPr>
          <w:rFonts w:cs="Times"/>
          <w:noProof/>
          <w:vertAlign w:val="superscript"/>
        </w:rPr>
        <w:t>40-42</w:t>
      </w:r>
      <w:r w:rsidRPr="00A51A7C">
        <w:rPr>
          <w:rFonts w:cs="Times"/>
        </w:rPr>
        <w:t xml:space="preserve"> As just mentioned, an attractive feature of CNTs is the possibility to hermetically seal radionuclides in their interior. The nanocapsule will not only prevent release of the chosen radionuclides into the biological milieu but also of their decay products, which might be of a different chemical nature and detach from the </w:t>
      </w:r>
      <w:proofErr w:type="spellStart"/>
      <w:r w:rsidRPr="00A51A7C">
        <w:rPr>
          <w:rFonts w:cs="Times"/>
        </w:rPr>
        <w:t>nanocarrier</w:t>
      </w:r>
      <w:proofErr w:type="spellEnd"/>
      <w:r w:rsidRPr="00A51A7C">
        <w:rPr>
          <w:rFonts w:cs="Times"/>
        </w:rPr>
        <w:t xml:space="preserve"> with the previously employed strategies. We have previously reported a pioneering work using hermetically sealed Na</w:t>
      </w:r>
      <w:r w:rsidRPr="00A51A7C">
        <w:rPr>
          <w:rFonts w:cs="Times"/>
          <w:vertAlign w:val="superscript"/>
        </w:rPr>
        <w:t>125</w:t>
      </w:r>
      <w:r w:rsidRPr="00A51A7C">
        <w:rPr>
          <w:rFonts w:cs="Times"/>
        </w:rPr>
        <w:t>I-filled and externally glycosylated single-walled CNTs (SWNT).</w:t>
      </w:r>
      <w:r w:rsidR="00667C01" w:rsidRPr="00A51A7C">
        <w:rPr>
          <w:rFonts w:cs="Times"/>
          <w:noProof/>
          <w:vertAlign w:val="superscript"/>
        </w:rPr>
        <w:t>25</w:t>
      </w:r>
      <w:r w:rsidRPr="00A51A7C">
        <w:rPr>
          <w:rFonts w:cs="Times"/>
        </w:rPr>
        <w:t xml:space="preserve"> Specific tissue accumulation (lung) coupled with high</w:t>
      </w:r>
      <w:r w:rsidRPr="00A51A7C">
        <w:rPr>
          <w:rFonts w:cs="Times"/>
          <w:i/>
        </w:rPr>
        <w:t xml:space="preserve"> in vivo </w:t>
      </w:r>
      <w:r w:rsidRPr="00A51A7C">
        <w:rPr>
          <w:rFonts w:cs="Times"/>
        </w:rPr>
        <w:t xml:space="preserve">stability prevented leakage of radionuclide to high-affinity organs </w:t>
      </w:r>
      <w:r w:rsidRPr="00A51A7C">
        <w:rPr>
          <w:rFonts w:cs="Times"/>
        </w:rPr>
        <w:lastRenderedPageBreak/>
        <w:t>(thyroid/stomach) or excretion, and resulted in ultrasensitive imaging and delivery of a</w:t>
      </w:r>
      <w:r w:rsidR="00734ACC" w:rsidRPr="00A51A7C">
        <w:rPr>
          <w:rFonts w:cs="Times"/>
        </w:rPr>
        <w:t xml:space="preserve"> high</w:t>
      </w:r>
      <w:r w:rsidRPr="00A51A7C">
        <w:rPr>
          <w:rFonts w:cs="Times"/>
        </w:rPr>
        <w:t xml:space="preserve"> radiation dose density</w:t>
      </w:r>
      <w:r w:rsidR="00667C01" w:rsidRPr="00A51A7C">
        <w:rPr>
          <w:rFonts w:cs="Times"/>
          <w:noProof/>
          <w:vertAlign w:val="superscript"/>
        </w:rPr>
        <w:t>25</w:t>
      </w:r>
      <w:r w:rsidRPr="00A51A7C">
        <w:rPr>
          <w:rFonts w:cs="Times"/>
        </w:rPr>
        <w:t xml:space="preserve"> </w:t>
      </w:r>
      <w:proofErr w:type="spellStart"/>
      <w:r w:rsidRPr="00A51A7C">
        <w:rPr>
          <w:rFonts w:cs="Times"/>
        </w:rPr>
        <w:t>Pascu</w:t>
      </w:r>
      <w:proofErr w:type="spellEnd"/>
      <w:r w:rsidRPr="00A51A7C">
        <w:rPr>
          <w:rFonts w:cs="Times"/>
        </w:rPr>
        <w:t xml:space="preserve"> </w:t>
      </w:r>
      <w:r w:rsidRPr="00A51A7C">
        <w:rPr>
          <w:rFonts w:cs="Times"/>
          <w:i/>
        </w:rPr>
        <w:t>et al</w:t>
      </w:r>
      <w:r w:rsidRPr="00A51A7C">
        <w:rPr>
          <w:rFonts w:cs="Times"/>
        </w:rPr>
        <w:t xml:space="preserve">. have recently given versatility to this approach and investigated the behavior of </w:t>
      </w:r>
      <w:proofErr w:type="spellStart"/>
      <w:r w:rsidRPr="00A51A7C">
        <w:rPr>
          <w:rFonts w:cs="Times"/>
        </w:rPr>
        <w:t>radiometal</w:t>
      </w:r>
      <w:proofErr w:type="spellEnd"/>
      <w:r w:rsidRPr="00A51A7C">
        <w:rPr>
          <w:rFonts w:cs="Times"/>
        </w:rPr>
        <w:t>-filled (</w:t>
      </w:r>
      <w:r w:rsidRPr="00A51A7C">
        <w:rPr>
          <w:rFonts w:cs="Times"/>
          <w:vertAlign w:val="superscript"/>
        </w:rPr>
        <w:t>64</w:t>
      </w:r>
      <w:r w:rsidRPr="00A51A7C">
        <w:rPr>
          <w:rFonts w:cs="Times"/>
        </w:rPr>
        <w:t xml:space="preserve">Cu) SWNT </w:t>
      </w:r>
      <w:r w:rsidRPr="00A51A7C">
        <w:rPr>
          <w:rFonts w:cs="Times"/>
          <w:i/>
        </w:rPr>
        <w:t>in vitro</w:t>
      </w:r>
      <w:r w:rsidRPr="00A51A7C">
        <w:rPr>
          <w:rFonts w:cs="Times"/>
        </w:rPr>
        <w:t xml:space="preserve"> and </w:t>
      </w:r>
      <w:r w:rsidRPr="00A51A7C">
        <w:rPr>
          <w:rFonts w:cs="Times"/>
          <w:i/>
        </w:rPr>
        <w:t>in vivo</w:t>
      </w:r>
      <w:r w:rsidRPr="00A51A7C">
        <w:rPr>
          <w:rFonts w:cs="Times"/>
        </w:rPr>
        <w:t>.</w:t>
      </w:r>
      <w:r w:rsidR="00667C01" w:rsidRPr="00A51A7C">
        <w:rPr>
          <w:rFonts w:cs="Times"/>
          <w:noProof/>
          <w:vertAlign w:val="superscript"/>
        </w:rPr>
        <w:t>27</w:t>
      </w:r>
      <w:r w:rsidRPr="00A51A7C">
        <w:rPr>
          <w:rFonts w:cs="Times"/>
        </w:rPr>
        <w:t xml:space="preserve"> In this study the ends of the CNTs were sealed using fullerenes as corks to prevent release of the encapsulated radioemitter.</w:t>
      </w:r>
      <w:r w:rsidR="00667C01" w:rsidRPr="00A51A7C">
        <w:rPr>
          <w:rFonts w:cs="Times"/>
          <w:noProof/>
          <w:vertAlign w:val="superscript"/>
        </w:rPr>
        <w:t>43, 44</w:t>
      </w:r>
      <w:r w:rsidRPr="00A51A7C">
        <w:rPr>
          <w:rFonts w:cs="Times"/>
        </w:rPr>
        <w:t xml:space="preserve"> In contrast to these previous reports, where ‘hot’ radionuclides, in the form of Na</w:t>
      </w:r>
      <w:r w:rsidRPr="00A51A7C">
        <w:rPr>
          <w:rFonts w:cs="Times"/>
          <w:vertAlign w:val="superscript"/>
        </w:rPr>
        <w:t>125</w:t>
      </w:r>
      <w:r w:rsidRPr="00A51A7C">
        <w:rPr>
          <w:rFonts w:cs="Times"/>
        </w:rPr>
        <w:t xml:space="preserve">I or </w:t>
      </w:r>
      <w:r w:rsidRPr="00A51A7C">
        <w:rPr>
          <w:rFonts w:cs="Times"/>
          <w:vertAlign w:val="superscript"/>
        </w:rPr>
        <w:t>64</w:t>
      </w:r>
      <w:r w:rsidRPr="00A51A7C">
        <w:rPr>
          <w:rFonts w:cs="Times"/>
        </w:rPr>
        <w:t>Cu(</w:t>
      </w:r>
      <w:proofErr w:type="spellStart"/>
      <w:r w:rsidRPr="00A51A7C">
        <w:rPr>
          <w:rFonts w:cs="Times"/>
        </w:rPr>
        <w:t>OAc</w:t>
      </w:r>
      <w:proofErr w:type="spellEnd"/>
      <w:r w:rsidRPr="00A51A7C">
        <w:rPr>
          <w:rFonts w:cs="Times"/>
        </w:rPr>
        <w:t>)</w:t>
      </w:r>
      <w:r w:rsidRPr="00A51A7C">
        <w:rPr>
          <w:rFonts w:cs="Times"/>
          <w:vertAlign w:val="subscript"/>
        </w:rPr>
        <w:t>2</w:t>
      </w:r>
      <w:r w:rsidRPr="00A51A7C">
        <w:rPr>
          <w:rFonts w:cs="Times"/>
        </w:rPr>
        <w:t>, were directly filled into SWNT, followed by end-closing, herein, we present a</w:t>
      </w:r>
      <w:r w:rsidR="00734ACC" w:rsidRPr="00A51A7C">
        <w:rPr>
          <w:rFonts w:cs="Times"/>
        </w:rPr>
        <w:t>n</w:t>
      </w:r>
      <w:r w:rsidRPr="00A51A7C">
        <w:rPr>
          <w:rFonts w:cs="Times"/>
        </w:rPr>
        <w:t xml:space="preserve"> approach by which ‘cold’ non-radioactive </w:t>
      </w:r>
      <w:r w:rsidRPr="00A51A7C">
        <w:rPr>
          <w:rFonts w:cs="Times"/>
          <w:vertAlign w:val="superscript"/>
        </w:rPr>
        <w:t>152</w:t>
      </w:r>
      <w:r w:rsidRPr="00A51A7C">
        <w:rPr>
          <w:rFonts w:cs="Times"/>
        </w:rPr>
        <w:t xml:space="preserve">Sm is initially sealed into the cavities of both SWNT and multi-walled CNTs (MWNT) leading to the formation of closed-ended </w:t>
      </w:r>
      <w:r w:rsidRPr="00A51A7C">
        <w:rPr>
          <w:rFonts w:cs="Times"/>
          <w:vertAlign w:val="superscript"/>
        </w:rPr>
        <w:t>152</w:t>
      </w:r>
      <w:r w:rsidRPr="00A51A7C">
        <w:rPr>
          <w:rFonts w:cs="Times"/>
        </w:rPr>
        <w:t xml:space="preserve">Sm-filled carbon nanocapsules. The encapsulated and stable </w:t>
      </w:r>
      <w:r w:rsidRPr="00A51A7C">
        <w:rPr>
          <w:rFonts w:cs="Times"/>
          <w:vertAlign w:val="superscript"/>
        </w:rPr>
        <w:t>152</w:t>
      </w:r>
      <w:r w:rsidRPr="00A51A7C">
        <w:rPr>
          <w:rFonts w:cs="Times"/>
        </w:rPr>
        <w:t xml:space="preserve">Sm can then be activated into therapeutically active ‘hot’ </w:t>
      </w:r>
      <w:r w:rsidRPr="00A51A7C">
        <w:rPr>
          <w:rFonts w:cs="Times"/>
          <w:vertAlign w:val="superscript"/>
        </w:rPr>
        <w:t>153</w:t>
      </w:r>
      <w:r w:rsidRPr="00A51A7C">
        <w:rPr>
          <w:rFonts w:cs="Times"/>
        </w:rPr>
        <w:t xml:space="preserve">Sm by neutron irradiation through the walls of the CNTs (Figure 1a; Schematic representations comparing both strategies to achieve ‘hot’ nanocapsules are included in Figure S1). After neutron activation, exceptionally high specific activities were obtained, </w:t>
      </w:r>
      <w:r w:rsidRPr="00A51A7C">
        <w:rPr>
          <w:rFonts w:cs="Times"/>
          <w:bCs/>
        </w:rPr>
        <w:t>compared to previous works on direct encapsulation of radionuclides,</w:t>
      </w:r>
      <w:r w:rsidRPr="00A51A7C">
        <w:rPr>
          <w:rFonts w:cs="Times"/>
        </w:rPr>
        <w:t xml:space="preserve"> which allowed not only</w:t>
      </w:r>
      <w:r w:rsidRPr="00A51A7C">
        <w:rPr>
          <w:rFonts w:cs="Times"/>
          <w:i/>
        </w:rPr>
        <w:t xml:space="preserve"> in vivo</w:t>
      </w:r>
      <w:r w:rsidRPr="00A51A7C">
        <w:rPr>
          <w:rFonts w:cs="Times"/>
        </w:rPr>
        <w:t xml:space="preserve"> nuclear imaging but also lung tumor radiotherapy. </w:t>
      </w:r>
      <w:r w:rsidRPr="00A51A7C">
        <w:rPr>
          <w:rFonts w:cs="Times"/>
          <w:vertAlign w:val="superscript"/>
        </w:rPr>
        <w:t>153</w:t>
      </w:r>
      <w:r w:rsidRPr="00A51A7C">
        <w:rPr>
          <w:rFonts w:cs="Times"/>
        </w:rPr>
        <w:t xml:space="preserve">Sm is an attractive radionuclide as it emits beta particles at maximum energy of 810 </w:t>
      </w:r>
      <w:proofErr w:type="spellStart"/>
      <w:r w:rsidRPr="00A51A7C">
        <w:rPr>
          <w:rFonts w:cs="Times"/>
        </w:rPr>
        <w:t>keV</w:t>
      </w:r>
      <w:proofErr w:type="spellEnd"/>
      <w:r w:rsidRPr="00A51A7C">
        <w:rPr>
          <w:rFonts w:cs="Times"/>
        </w:rPr>
        <w:t xml:space="preserve"> (suitable for cell killing), and also releases gamma energy of 103 </w:t>
      </w:r>
      <w:proofErr w:type="spellStart"/>
      <w:r w:rsidRPr="00A51A7C">
        <w:rPr>
          <w:rFonts w:cs="Times"/>
        </w:rPr>
        <w:t>keV</w:t>
      </w:r>
      <w:proofErr w:type="spellEnd"/>
      <w:r w:rsidRPr="00A51A7C">
        <w:rPr>
          <w:rFonts w:cs="Times"/>
        </w:rPr>
        <w:t xml:space="preserve"> (allowing clinical imaging).</w:t>
      </w:r>
      <w:r w:rsidR="00667C01" w:rsidRPr="00A51A7C">
        <w:rPr>
          <w:rFonts w:cs="Times"/>
          <w:noProof/>
          <w:vertAlign w:val="superscript"/>
        </w:rPr>
        <w:t>45, 46</w:t>
      </w:r>
      <w:r w:rsidRPr="00A51A7C">
        <w:rPr>
          <w:rFonts w:cs="Times"/>
        </w:rPr>
        <w:t xml:space="preserve"> </w:t>
      </w:r>
      <w:r w:rsidRPr="00A51A7C">
        <w:rPr>
          <w:rFonts w:cs="Times"/>
          <w:vertAlign w:val="superscript"/>
        </w:rPr>
        <w:t>153</w:t>
      </w:r>
      <w:r w:rsidRPr="00A51A7C">
        <w:rPr>
          <w:rFonts w:cs="Times"/>
        </w:rPr>
        <w:t xml:space="preserve">Sm is used clinically in the form of </w:t>
      </w:r>
      <w:r w:rsidRPr="00A51A7C">
        <w:rPr>
          <w:rFonts w:cs="Times"/>
          <w:vertAlign w:val="superscript"/>
        </w:rPr>
        <w:t>153</w:t>
      </w:r>
      <w:r w:rsidRPr="00A51A7C">
        <w:rPr>
          <w:rFonts w:cs="Times"/>
        </w:rPr>
        <w:t xml:space="preserve">Sm-ethylene diamine </w:t>
      </w:r>
      <w:proofErr w:type="spellStart"/>
      <w:r w:rsidRPr="00A51A7C">
        <w:rPr>
          <w:rFonts w:cs="Times"/>
        </w:rPr>
        <w:t>tetramethylene</w:t>
      </w:r>
      <w:proofErr w:type="spellEnd"/>
      <w:r w:rsidRPr="00A51A7C">
        <w:rPr>
          <w:rFonts w:cs="Times"/>
        </w:rPr>
        <w:t xml:space="preserve"> phosphonate chelate (</w:t>
      </w:r>
      <w:r w:rsidRPr="00A51A7C">
        <w:rPr>
          <w:rFonts w:cs="Times"/>
          <w:vertAlign w:val="superscript"/>
        </w:rPr>
        <w:t>153</w:t>
      </w:r>
      <w:r w:rsidRPr="00A51A7C">
        <w:rPr>
          <w:rFonts w:cs="Times"/>
        </w:rPr>
        <w:t xml:space="preserve">Sm-EDTMP, </w:t>
      </w:r>
      <w:proofErr w:type="spellStart"/>
      <w:r w:rsidRPr="00A51A7C">
        <w:rPr>
          <w:rFonts w:cs="Times"/>
        </w:rPr>
        <w:t>Quadramet</w:t>
      </w:r>
      <w:proofErr w:type="spellEnd"/>
      <w:r w:rsidRPr="00A51A7C">
        <w:rPr>
          <w:rFonts w:cs="Times"/>
        </w:rPr>
        <w:t>®) for palliation of bone metastases.</w:t>
      </w:r>
      <w:r w:rsidR="00667C01" w:rsidRPr="00A51A7C">
        <w:rPr>
          <w:rFonts w:cs="Times"/>
          <w:noProof/>
          <w:vertAlign w:val="superscript"/>
        </w:rPr>
        <w:t>47</w:t>
      </w:r>
      <w:r w:rsidRPr="00A51A7C">
        <w:rPr>
          <w:rFonts w:cs="Times"/>
        </w:rPr>
        <w:t xml:space="preserve"> It offers added advantages such as desirable half-life (46.3 h) and lower gamma energy over other therapeutic radionuclides currently being used in clinic such as iodine-131 or yttrium-90.</w:t>
      </w:r>
      <w:r w:rsidR="00667C01" w:rsidRPr="00A51A7C">
        <w:rPr>
          <w:rFonts w:cs="Times"/>
          <w:noProof/>
          <w:vertAlign w:val="superscript"/>
        </w:rPr>
        <w:t>48</w:t>
      </w:r>
      <w:r w:rsidRPr="00A51A7C">
        <w:rPr>
          <w:rFonts w:cs="Times"/>
        </w:rPr>
        <w:t xml:space="preserve"> </w:t>
      </w:r>
    </w:p>
    <w:p w:rsidR="000B54A2" w:rsidRPr="00A51A7C" w:rsidRDefault="000B54A2" w:rsidP="00D658CB">
      <w:pPr>
        <w:spacing w:after="0" w:line="480" w:lineRule="auto"/>
        <w:ind w:firstLine="204"/>
        <w:rPr>
          <w:rFonts w:cs="Times"/>
        </w:rPr>
      </w:pPr>
      <w:r w:rsidRPr="00A51A7C">
        <w:rPr>
          <w:rFonts w:cs="Times"/>
        </w:rPr>
        <w:t xml:space="preserve">The encapsulation of ‘hot’ radionuclides into the cavity of CNTs requires a fast and safe manipulation of the material due to their constant decay. By using the neutron activation strategy (Figure 1a), both the filling and the removal of the non-encapsulated compound do not require the </w:t>
      </w:r>
      <w:r w:rsidRPr="00A51A7C">
        <w:rPr>
          <w:rFonts w:cs="Times"/>
        </w:rPr>
        <w:lastRenderedPageBreak/>
        <w:t>use of radioactive facilities thus reducing radiation exposure to the personnel. It also alleviates the time constraints imposed by the constant decay of radionuclides since the ‘cold’ nanocapsules can be shelf-stored and activated by neutron irradiation on demand. Neutron activation of nanoparticles incorporating neutron-</w:t>
      </w:r>
      <w:proofErr w:type="spellStart"/>
      <w:r w:rsidRPr="00A51A7C">
        <w:rPr>
          <w:rFonts w:cs="Times"/>
        </w:rPr>
        <w:t>activatable</w:t>
      </w:r>
      <w:proofErr w:type="spellEnd"/>
      <w:r w:rsidRPr="00A51A7C">
        <w:rPr>
          <w:rFonts w:cs="Times"/>
        </w:rPr>
        <w:t xml:space="preserve"> isotopes is well documented</w:t>
      </w:r>
      <w:r w:rsidR="007B5873" w:rsidRPr="00A51A7C">
        <w:rPr>
          <w:rFonts w:cs="Times"/>
        </w:rPr>
        <w:t>, with initial studies focused on the use of fullerenes and polymeric nanoparticles.</w:t>
      </w:r>
      <w:r w:rsidR="00667C01" w:rsidRPr="00A51A7C">
        <w:rPr>
          <w:rFonts w:cs="Times"/>
          <w:noProof/>
          <w:vertAlign w:val="superscript"/>
        </w:rPr>
        <w:t>49-53</w:t>
      </w:r>
      <w:r w:rsidRPr="00A51A7C">
        <w:rPr>
          <w:rFonts w:cs="Times"/>
        </w:rPr>
        <w:t xml:space="preserve"> Di </w:t>
      </w:r>
      <w:proofErr w:type="spellStart"/>
      <w:r w:rsidRPr="00A51A7C">
        <w:rPr>
          <w:rFonts w:cs="Times"/>
        </w:rPr>
        <w:t>Pasqua</w:t>
      </w:r>
      <w:proofErr w:type="spellEnd"/>
      <w:r w:rsidRPr="00A51A7C">
        <w:rPr>
          <w:rFonts w:cs="Times"/>
        </w:rPr>
        <w:t xml:space="preserve"> </w:t>
      </w:r>
      <w:r w:rsidRPr="00A51A7C">
        <w:rPr>
          <w:rFonts w:cs="Times"/>
          <w:i/>
        </w:rPr>
        <w:t>et al.</w:t>
      </w:r>
      <w:r w:rsidRPr="00A51A7C">
        <w:rPr>
          <w:rFonts w:cs="Times"/>
        </w:rPr>
        <w:t xml:space="preserve"> </w:t>
      </w:r>
      <w:r w:rsidR="007B5873" w:rsidRPr="00A51A7C">
        <w:rPr>
          <w:rFonts w:cs="Times"/>
        </w:rPr>
        <w:t xml:space="preserve">also proposed </w:t>
      </w:r>
      <w:r w:rsidRPr="00A51A7C">
        <w:rPr>
          <w:rFonts w:cs="Times"/>
        </w:rPr>
        <w:t>the use of inorganic mesoporous silica nanoparticles loaded with neutron-</w:t>
      </w:r>
      <w:proofErr w:type="spellStart"/>
      <w:r w:rsidRPr="00A51A7C">
        <w:rPr>
          <w:rFonts w:cs="Times"/>
        </w:rPr>
        <w:t>activatable</w:t>
      </w:r>
      <w:proofErr w:type="spellEnd"/>
      <w:r w:rsidRPr="00A51A7C">
        <w:rPr>
          <w:rFonts w:cs="Times"/>
        </w:rPr>
        <w:t xml:space="preserve"> holmium-165.</w:t>
      </w:r>
      <w:r w:rsidR="00667C01" w:rsidRPr="00A51A7C">
        <w:rPr>
          <w:rFonts w:cs="Times"/>
          <w:noProof/>
          <w:vertAlign w:val="superscript"/>
        </w:rPr>
        <w:t>54, 55</w:t>
      </w:r>
      <w:r w:rsidRPr="00A51A7C">
        <w:rPr>
          <w:rFonts w:cs="Times"/>
        </w:rPr>
        <w:t xml:space="preserve"> Taking advantage of the porosity of the </w:t>
      </w:r>
      <w:proofErr w:type="spellStart"/>
      <w:r w:rsidRPr="00A51A7C">
        <w:rPr>
          <w:rFonts w:cs="Times"/>
        </w:rPr>
        <w:t>nanocarrier</w:t>
      </w:r>
      <w:proofErr w:type="spellEnd"/>
      <w:r w:rsidRPr="00A51A7C">
        <w:rPr>
          <w:rFonts w:cs="Times"/>
        </w:rPr>
        <w:t>, this was later expanded to chemoradiotherapy.</w:t>
      </w:r>
      <w:r w:rsidR="00667C01" w:rsidRPr="00A51A7C">
        <w:rPr>
          <w:rFonts w:cs="Times"/>
          <w:noProof/>
          <w:vertAlign w:val="superscript"/>
        </w:rPr>
        <w:t>56</w:t>
      </w:r>
      <w:r w:rsidRPr="00A51A7C">
        <w:rPr>
          <w:rFonts w:cs="Times"/>
        </w:rPr>
        <w:t xml:space="preserve"> Other inorganic materials including holmium iron garnet, mesoporous carbon nanoparticles and graphene oxide have more recently been explored as holmium nanocarriers.</w:t>
      </w:r>
      <w:r w:rsidR="00667C01" w:rsidRPr="00A51A7C">
        <w:rPr>
          <w:rFonts w:cs="Times"/>
          <w:noProof/>
          <w:vertAlign w:val="superscript"/>
        </w:rPr>
        <w:t>57-59</w:t>
      </w:r>
      <w:r w:rsidRPr="00A51A7C">
        <w:rPr>
          <w:rFonts w:cs="Times"/>
        </w:rPr>
        <w:t xml:space="preserve"> On the other hand, neutron activation of large particles (</w:t>
      </w:r>
      <w:r w:rsidRPr="00A51A7C">
        <w:rPr>
          <w:rFonts w:cs="Times"/>
          <w:i/>
        </w:rPr>
        <w:t>i.e.</w:t>
      </w:r>
      <w:r w:rsidRPr="00A51A7C">
        <w:rPr>
          <w:rFonts w:cs="Times"/>
        </w:rPr>
        <w:t xml:space="preserve"> holmium-166 containing microspheres) has been employed in clinical trials for the treatment of liver tumor </w:t>
      </w:r>
      <w:r w:rsidRPr="00A51A7C">
        <w:rPr>
          <w:rFonts w:cs="Times"/>
          <w:i/>
        </w:rPr>
        <w:t>via</w:t>
      </w:r>
      <w:r w:rsidRPr="00A51A7C">
        <w:rPr>
          <w:rFonts w:cs="Times"/>
        </w:rPr>
        <w:t xml:space="preserve"> intra-arterial injection leading to radioembolization.</w:t>
      </w:r>
      <w:r w:rsidR="00667C01" w:rsidRPr="00A51A7C">
        <w:rPr>
          <w:rFonts w:cs="Times"/>
          <w:noProof/>
          <w:vertAlign w:val="superscript"/>
        </w:rPr>
        <w:t>60, 61</w:t>
      </w:r>
      <w:r w:rsidRPr="00A51A7C">
        <w:rPr>
          <w:rFonts w:cs="Times"/>
        </w:rPr>
        <w:t xml:space="preserve"> In this work we propose the use of neutron irradiation of ‘cold’ isotopically enriched </w:t>
      </w:r>
      <w:r w:rsidRPr="00A51A7C">
        <w:rPr>
          <w:rFonts w:cs="Times"/>
          <w:vertAlign w:val="superscript"/>
        </w:rPr>
        <w:t>152</w:t>
      </w:r>
      <w:r w:rsidRPr="00A51A7C">
        <w:rPr>
          <w:rFonts w:cs="Times"/>
        </w:rPr>
        <w:t xml:space="preserve">Sm sealed within carbon nanotubes. The activated ‘hot’ </w:t>
      </w:r>
      <w:r w:rsidRPr="00A51A7C">
        <w:rPr>
          <w:rFonts w:cs="Times"/>
          <w:vertAlign w:val="superscript"/>
        </w:rPr>
        <w:t>153</w:t>
      </w:r>
      <w:r w:rsidRPr="00A51A7C">
        <w:rPr>
          <w:rFonts w:cs="Times"/>
        </w:rPr>
        <w:t xml:space="preserve">Sm nanocapsules allow both </w:t>
      </w:r>
      <w:r w:rsidRPr="00A51A7C">
        <w:rPr>
          <w:rFonts w:cs="Times"/>
          <w:i/>
        </w:rPr>
        <w:t>in vivo</w:t>
      </w:r>
      <w:r w:rsidRPr="00A51A7C">
        <w:rPr>
          <w:rFonts w:cs="Times"/>
        </w:rPr>
        <w:t xml:space="preserve"> imaging and tumor radiotherapy.</w:t>
      </w:r>
    </w:p>
    <w:p w:rsidR="00337337" w:rsidRPr="00A51A7C" w:rsidRDefault="00337337" w:rsidP="00D658CB">
      <w:pPr>
        <w:pStyle w:val="TAMainText"/>
        <w:ind w:firstLine="204"/>
        <w:rPr>
          <w:rFonts w:cs="Times"/>
        </w:rPr>
      </w:pPr>
    </w:p>
    <w:p w:rsidR="004D6769" w:rsidRPr="00A51A7C" w:rsidRDefault="004D6769" w:rsidP="00D658CB">
      <w:pPr>
        <w:pStyle w:val="TAMainText"/>
        <w:ind w:firstLine="204"/>
        <w:rPr>
          <w:rFonts w:cs="Times"/>
        </w:rPr>
      </w:pPr>
      <w:r w:rsidRPr="00A51A7C">
        <w:rPr>
          <w:rFonts w:cs="Times"/>
        </w:rPr>
        <w:t>RESULTS AND DISCUSSION</w:t>
      </w:r>
    </w:p>
    <w:p w:rsidR="000B54A2" w:rsidRPr="00A51A7C" w:rsidRDefault="00B2084B" w:rsidP="00D658CB">
      <w:pPr>
        <w:spacing w:after="0" w:line="480" w:lineRule="auto"/>
        <w:ind w:firstLine="204"/>
        <w:rPr>
          <w:rFonts w:cs="Times"/>
        </w:rPr>
      </w:pPr>
      <w:r w:rsidRPr="00A51A7C">
        <w:rPr>
          <w:rFonts w:cs="Times"/>
          <w:b/>
        </w:rPr>
        <w:t xml:space="preserve">Preparation and neutron activation of </w:t>
      </w:r>
      <w:r w:rsidRPr="00A51A7C">
        <w:rPr>
          <w:rFonts w:cs="Times"/>
          <w:b/>
          <w:vertAlign w:val="superscript"/>
        </w:rPr>
        <w:t>152</w:t>
      </w:r>
      <w:r w:rsidRPr="00A51A7C">
        <w:rPr>
          <w:rFonts w:cs="Times"/>
          <w:b/>
        </w:rPr>
        <w:t xml:space="preserve">Sm-filled nanocapsules to yield radioactive </w:t>
      </w:r>
      <w:r w:rsidRPr="00A51A7C">
        <w:rPr>
          <w:rFonts w:cs="Times"/>
          <w:b/>
          <w:vertAlign w:val="superscript"/>
        </w:rPr>
        <w:t>153</w:t>
      </w:r>
      <w:r w:rsidRPr="00A51A7C">
        <w:rPr>
          <w:rFonts w:cs="Times"/>
          <w:b/>
        </w:rPr>
        <w:t xml:space="preserve">Sm@CNTs. </w:t>
      </w:r>
      <w:r w:rsidR="000B54A2" w:rsidRPr="00A51A7C">
        <w:rPr>
          <w:rFonts w:cs="Times"/>
        </w:rPr>
        <w:t>As-received CNTs were initially purified and shortened by combination of solution processing with strong acids followed by steam</w:t>
      </w:r>
      <w:r w:rsidR="00431A7A" w:rsidRPr="00A51A7C">
        <w:rPr>
          <w:rFonts w:cs="Times"/>
        </w:rPr>
        <w:t>.</w:t>
      </w:r>
      <w:r w:rsidR="00667C01" w:rsidRPr="00A51A7C">
        <w:rPr>
          <w:rFonts w:cs="Times"/>
          <w:noProof/>
          <w:vertAlign w:val="superscript"/>
        </w:rPr>
        <w:t>62</w:t>
      </w:r>
      <w:r w:rsidR="000B54A2" w:rsidRPr="00A51A7C">
        <w:rPr>
          <w:rFonts w:cs="Times"/>
        </w:rPr>
        <w:t xml:space="preserve"> High temperature molten phase capillary filling was employed for the encapsulation of isotopically enriched </w:t>
      </w:r>
      <w:r w:rsidR="000B54A2" w:rsidRPr="00A51A7C">
        <w:rPr>
          <w:rFonts w:cs="Times"/>
          <w:vertAlign w:val="superscript"/>
        </w:rPr>
        <w:t>152</w:t>
      </w:r>
      <w:r w:rsidR="000B54A2" w:rsidRPr="00A51A7C">
        <w:rPr>
          <w:rFonts w:cs="Times"/>
        </w:rPr>
        <w:t>SmCl</w:t>
      </w:r>
      <w:r w:rsidR="000B54A2" w:rsidRPr="00A51A7C">
        <w:rPr>
          <w:rFonts w:cs="Times"/>
          <w:vertAlign w:val="subscript"/>
        </w:rPr>
        <w:t>3</w:t>
      </w:r>
      <w:r w:rsidR="000B54A2" w:rsidRPr="00A51A7C">
        <w:rPr>
          <w:rFonts w:cs="Times"/>
        </w:rPr>
        <w:t xml:space="preserve"> into SWNT and MWNT, leading to the closing of the nanotube ends on cooling</w:t>
      </w:r>
      <w:r w:rsidR="00667C01" w:rsidRPr="00A51A7C">
        <w:rPr>
          <w:rFonts w:cs="Times"/>
          <w:noProof/>
          <w:vertAlign w:val="superscript"/>
        </w:rPr>
        <w:t>29, 30</w:t>
      </w:r>
      <w:r w:rsidR="000B54A2" w:rsidRPr="00A51A7C">
        <w:rPr>
          <w:rFonts w:cs="Times"/>
        </w:rPr>
        <w:t xml:space="preserve"> (Figure 1a).  For ease of nomenclature, we will refer to these nanocapsules as </w:t>
      </w:r>
      <w:r w:rsidR="000B54A2" w:rsidRPr="00A51A7C">
        <w:rPr>
          <w:rFonts w:cs="Times"/>
          <w:vertAlign w:val="superscript"/>
        </w:rPr>
        <w:t>152</w:t>
      </w:r>
      <w:r w:rsidR="000B54A2" w:rsidRPr="00A51A7C">
        <w:rPr>
          <w:rFonts w:cs="Times"/>
        </w:rPr>
        <w:t xml:space="preserve">Sm@SWNT and </w:t>
      </w:r>
      <w:r w:rsidR="000B54A2" w:rsidRPr="00A51A7C">
        <w:rPr>
          <w:rFonts w:cs="Times"/>
          <w:vertAlign w:val="superscript"/>
        </w:rPr>
        <w:t>152</w:t>
      </w:r>
      <w:r w:rsidR="000B54A2" w:rsidRPr="00A51A7C">
        <w:rPr>
          <w:rFonts w:cs="Times"/>
        </w:rPr>
        <w:t>Sm@MWNT. We employed enriched samarium (</w:t>
      </w:r>
      <w:r w:rsidR="000B54A2" w:rsidRPr="00A51A7C">
        <w:rPr>
          <w:rFonts w:cs="Times"/>
          <w:vertAlign w:val="superscript"/>
        </w:rPr>
        <w:t>152</w:t>
      </w:r>
      <w:r w:rsidR="000B54A2" w:rsidRPr="00A51A7C">
        <w:rPr>
          <w:rFonts w:cs="Times"/>
        </w:rPr>
        <w:t xml:space="preserve">Sm) to ensure an efficient activation to the clinically employed </w:t>
      </w:r>
      <w:r w:rsidR="000B54A2" w:rsidRPr="00A51A7C">
        <w:rPr>
          <w:rFonts w:cs="Times"/>
          <w:vertAlign w:val="superscript"/>
        </w:rPr>
        <w:t>153</w:t>
      </w:r>
      <w:r w:rsidR="000B54A2" w:rsidRPr="00A51A7C">
        <w:rPr>
          <w:rFonts w:cs="Times"/>
        </w:rPr>
        <w:t xml:space="preserve">Sm isotope upon </w:t>
      </w:r>
      <w:r w:rsidR="000B54A2" w:rsidRPr="00A51A7C">
        <w:rPr>
          <w:rFonts w:cs="Times"/>
        </w:rPr>
        <w:lastRenderedPageBreak/>
        <w:t>neutron irradiation.</w:t>
      </w:r>
      <w:r w:rsidR="00667C01" w:rsidRPr="00A51A7C">
        <w:rPr>
          <w:rFonts w:cs="Times"/>
          <w:noProof/>
          <w:vertAlign w:val="superscript"/>
        </w:rPr>
        <w:t>63</w:t>
      </w:r>
      <w:r w:rsidR="000B54A2" w:rsidRPr="00A51A7C">
        <w:rPr>
          <w:rFonts w:cs="Times"/>
        </w:rPr>
        <w:t xml:space="preserve"> </w:t>
      </w:r>
      <w:proofErr w:type="gramStart"/>
      <w:r w:rsidR="000B54A2" w:rsidRPr="00A51A7C">
        <w:rPr>
          <w:rFonts w:cs="Times"/>
        </w:rPr>
        <w:t>After</w:t>
      </w:r>
      <w:proofErr w:type="gramEnd"/>
      <w:r w:rsidR="000B54A2" w:rsidRPr="00A51A7C">
        <w:rPr>
          <w:rFonts w:cs="Times"/>
        </w:rPr>
        <w:t xml:space="preserve"> the filling experiment, the excess of </w:t>
      </w:r>
      <w:r w:rsidR="000B54A2" w:rsidRPr="00A51A7C">
        <w:rPr>
          <w:rFonts w:cs="Times"/>
          <w:vertAlign w:val="superscript"/>
        </w:rPr>
        <w:t>152</w:t>
      </w:r>
      <w:r w:rsidR="000B54A2" w:rsidRPr="00A51A7C">
        <w:rPr>
          <w:rFonts w:cs="Times"/>
        </w:rPr>
        <w:t>SmCl</w:t>
      </w:r>
      <w:r w:rsidR="000B54A2" w:rsidRPr="00A51A7C">
        <w:rPr>
          <w:rFonts w:cs="Times"/>
          <w:vertAlign w:val="subscript"/>
        </w:rPr>
        <w:t>3</w:t>
      </w:r>
      <w:r w:rsidR="000B54A2" w:rsidRPr="00A51A7C">
        <w:rPr>
          <w:rFonts w:cs="Times"/>
        </w:rPr>
        <w:t xml:space="preserve"> external to the walls of the CNTs was removed by repeated washings and fil</w:t>
      </w:r>
      <w:r w:rsidR="005E4C02" w:rsidRPr="00A51A7C">
        <w:rPr>
          <w:rFonts w:cs="Times"/>
        </w:rPr>
        <w:t xml:space="preserve">tration of the sample in water. </w:t>
      </w:r>
      <w:r w:rsidR="001B1BEF" w:rsidRPr="00A51A7C">
        <w:rPr>
          <w:rFonts w:cs="Times"/>
        </w:rPr>
        <w:t xml:space="preserve">The length and </w:t>
      </w:r>
      <w:r w:rsidR="00A4168A" w:rsidRPr="00A51A7C">
        <w:rPr>
          <w:rFonts w:cs="Times"/>
        </w:rPr>
        <w:t xml:space="preserve">external </w:t>
      </w:r>
      <w:r w:rsidR="001B1BEF" w:rsidRPr="00A51A7C">
        <w:rPr>
          <w:rFonts w:cs="Times"/>
        </w:rPr>
        <w:t>diameter distribution of the samples was determined after th</w:t>
      </w:r>
      <w:r w:rsidR="00C23F80" w:rsidRPr="00A51A7C">
        <w:rPr>
          <w:rFonts w:cs="Times"/>
        </w:rPr>
        <w:t>e</w:t>
      </w:r>
      <w:r w:rsidR="001B1BEF" w:rsidRPr="00A51A7C">
        <w:rPr>
          <w:rFonts w:cs="Times"/>
        </w:rPr>
        <w:t xml:space="preserve"> filling step. The median length turned out be </w:t>
      </w:r>
      <w:r w:rsidR="00D070B7" w:rsidRPr="00A51A7C">
        <w:rPr>
          <w:rFonts w:cs="Times"/>
          <w:i/>
        </w:rPr>
        <w:t xml:space="preserve">ca. </w:t>
      </w:r>
      <w:r w:rsidR="00D070B7" w:rsidRPr="00A51A7C">
        <w:rPr>
          <w:rFonts w:cs="Times"/>
        </w:rPr>
        <w:t>200</w:t>
      </w:r>
      <w:r w:rsidR="001B1BEF" w:rsidRPr="00A51A7C">
        <w:rPr>
          <w:rFonts w:cs="Times"/>
        </w:rPr>
        <w:t xml:space="preserve"> nm for SWNT</w:t>
      </w:r>
      <w:r w:rsidR="00A4168A" w:rsidRPr="00A51A7C">
        <w:rPr>
          <w:rFonts w:cs="Times"/>
        </w:rPr>
        <w:t>s</w:t>
      </w:r>
      <w:r w:rsidR="001B1BEF" w:rsidRPr="00A51A7C">
        <w:rPr>
          <w:rFonts w:cs="Times"/>
        </w:rPr>
        <w:t xml:space="preserve"> and </w:t>
      </w:r>
      <w:r w:rsidR="00D070B7" w:rsidRPr="00A51A7C">
        <w:rPr>
          <w:rFonts w:cs="Times"/>
          <w:i/>
        </w:rPr>
        <w:t xml:space="preserve">ca. </w:t>
      </w:r>
      <w:r w:rsidR="001B1BEF" w:rsidRPr="00A51A7C">
        <w:rPr>
          <w:rFonts w:cs="Times"/>
        </w:rPr>
        <w:t>33</w:t>
      </w:r>
      <w:r w:rsidR="00D070B7" w:rsidRPr="00A51A7C">
        <w:rPr>
          <w:rFonts w:cs="Times"/>
        </w:rPr>
        <w:t>0</w:t>
      </w:r>
      <w:r w:rsidR="001B1BEF" w:rsidRPr="00A51A7C">
        <w:rPr>
          <w:rFonts w:cs="Times"/>
        </w:rPr>
        <w:t xml:space="preserve"> nm for M</w:t>
      </w:r>
      <w:r w:rsidR="00A4168A" w:rsidRPr="00A51A7C">
        <w:rPr>
          <w:rFonts w:cs="Times"/>
        </w:rPr>
        <w:t>WNTs</w:t>
      </w:r>
      <w:r w:rsidR="001B1BEF" w:rsidRPr="00A51A7C">
        <w:rPr>
          <w:rFonts w:cs="Times"/>
        </w:rPr>
        <w:t xml:space="preserve"> (see Figure S</w:t>
      </w:r>
      <w:r w:rsidR="00C23F80" w:rsidRPr="00A51A7C">
        <w:rPr>
          <w:rFonts w:cs="Times"/>
        </w:rPr>
        <w:t>2</w:t>
      </w:r>
      <w:r w:rsidR="001B1BEF" w:rsidRPr="00A51A7C">
        <w:rPr>
          <w:rFonts w:cs="Times"/>
        </w:rPr>
        <w:t xml:space="preserve"> and Table S</w:t>
      </w:r>
      <w:r w:rsidR="00C23F80" w:rsidRPr="00A51A7C">
        <w:rPr>
          <w:rFonts w:cs="Times"/>
        </w:rPr>
        <w:t>1</w:t>
      </w:r>
      <w:r w:rsidR="001B1BEF" w:rsidRPr="00A51A7C">
        <w:rPr>
          <w:rFonts w:cs="Times"/>
        </w:rPr>
        <w:t xml:space="preserve"> for statistical data), and the median </w:t>
      </w:r>
      <w:r w:rsidR="00D4728F" w:rsidRPr="00A51A7C">
        <w:rPr>
          <w:rFonts w:cs="Times"/>
        </w:rPr>
        <w:t xml:space="preserve">external </w:t>
      </w:r>
      <w:r w:rsidR="001B1BEF" w:rsidRPr="00A51A7C">
        <w:rPr>
          <w:rFonts w:cs="Times"/>
        </w:rPr>
        <w:t xml:space="preserve">diameters 2.1 nm for </w:t>
      </w:r>
      <w:r w:rsidR="00A4168A" w:rsidRPr="00A51A7C">
        <w:rPr>
          <w:rFonts w:cs="Times"/>
        </w:rPr>
        <w:t>SWNTs</w:t>
      </w:r>
      <w:r w:rsidR="001B1BEF" w:rsidRPr="00A51A7C">
        <w:rPr>
          <w:rFonts w:cs="Times"/>
        </w:rPr>
        <w:t xml:space="preserve"> and 10.7 nm for MWNTs (Figure S</w:t>
      </w:r>
      <w:r w:rsidR="00C23F80" w:rsidRPr="00A51A7C">
        <w:rPr>
          <w:rFonts w:cs="Times"/>
        </w:rPr>
        <w:t>3</w:t>
      </w:r>
      <w:r w:rsidR="001B1BEF" w:rsidRPr="00A51A7C">
        <w:rPr>
          <w:rFonts w:cs="Times"/>
        </w:rPr>
        <w:t>, Table S</w:t>
      </w:r>
      <w:r w:rsidR="00C23F80" w:rsidRPr="00A51A7C">
        <w:rPr>
          <w:rFonts w:cs="Times"/>
        </w:rPr>
        <w:t>2</w:t>
      </w:r>
      <w:r w:rsidR="001B1BEF" w:rsidRPr="00A51A7C">
        <w:rPr>
          <w:rFonts w:cs="Times"/>
        </w:rPr>
        <w:t xml:space="preserve">). </w:t>
      </w:r>
      <w:r w:rsidR="000B54A2" w:rsidRPr="00A51A7C">
        <w:rPr>
          <w:rFonts w:cs="Times"/>
        </w:rPr>
        <w:t xml:space="preserve">The amount of samarium present was </w:t>
      </w:r>
      <w:r w:rsidR="001B1BEF" w:rsidRPr="00A51A7C">
        <w:rPr>
          <w:rFonts w:cs="Times"/>
        </w:rPr>
        <w:t xml:space="preserve">next </w:t>
      </w:r>
      <w:r w:rsidR="000B54A2" w:rsidRPr="00A51A7C">
        <w:rPr>
          <w:rFonts w:cs="Times"/>
        </w:rPr>
        <w:t xml:space="preserve">quantitatively determined by ICP-MS. The analyses revealed ~12.3 w/w% and 17.6 w/w% loading of </w:t>
      </w:r>
      <w:r w:rsidR="000B54A2" w:rsidRPr="00A51A7C">
        <w:rPr>
          <w:rFonts w:cs="Times"/>
          <w:vertAlign w:val="superscript"/>
        </w:rPr>
        <w:t>152</w:t>
      </w:r>
      <w:r w:rsidR="000B54A2" w:rsidRPr="00A51A7C">
        <w:rPr>
          <w:rFonts w:cs="Times"/>
        </w:rPr>
        <w:t xml:space="preserve">Sm for </w:t>
      </w:r>
      <w:r w:rsidR="000B54A2" w:rsidRPr="00A51A7C">
        <w:rPr>
          <w:rFonts w:cs="Times"/>
          <w:bCs/>
          <w:vertAlign w:val="superscript"/>
        </w:rPr>
        <w:t>152</w:t>
      </w:r>
      <w:r w:rsidR="000B54A2" w:rsidRPr="00A51A7C">
        <w:rPr>
          <w:rFonts w:cs="Times"/>
          <w:bCs/>
        </w:rPr>
        <w:t xml:space="preserve">Sm@SWNT and </w:t>
      </w:r>
      <w:r w:rsidR="000B54A2" w:rsidRPr="00A51A7C">
        <w:rPr>
          <w:rFonts w:cs="Times"/>
          <w:bCs/>
          <w:vertAlign w:val="superscript"/>
        </w:rPr>
        <w:t>152</w:t>
      </w:r>
      <w:r w:rsidR="000B54A2" w:rsidRPr="00A51A7C">
        <w:rPr>
          <w:rFonts w:cs="Times"/>
          <w:bCs/>
        </w:rPr>
        <w:t>Sm@MWNT,</w:t>
      </w:r>
      <w:r w:rsidR="000B54A2" w:rsidRPr="00A51A7C">
        <w:rPr>
          <w:rFonts w:cs="Times"/>
        </w:rPr>
        <w:t xml:space="preserve"> respectively. The bigger cavity of </w:t>
      </w:r>
      <w:r w:rsidR="000B54A2" w:rsidRPr="00A51A7C">
        <w:rPr>
          <w:rFonts w:cs="Times"/>
          <w:vertAlign w:val="superscript"/>
        </w:rPr>
        <w:t>152</w:t>
      </w:r>
      <w:r w:rsidR="000B54A2" w:rsidRPr="00A51A7C">
        <w:rPr>
          <w:rFonts w:cs="Times"/>
        </w:rPr>
        <w:t xml:space="preserve">Sm in MWNTs with respect to their single-walled counterparts accounts for the larger amount of encapsulated </w:t>
      </w:r>
      <w:r w:rsidR="000B54A2" w:rsidRPr="00A51A7C">
        <w:rPr>
          <w:rFonts w:cs="Times"/>
          <w:vertAlign w:val="superscript"/>
        </w:rPr>
        <w:t>152</w:t>
      </w:r>
      <w:r w:rsidR="000B54A2" w:rsidRPr="00A51A7C">
        <w:rPr>
          <w:rFonts w:cs="Times"/>
        </w:rPr>
        <w:t xml:space="preserve">Sm. Due to the large excess of </w:t>
      </w:r>
      <w:r w:rsidR="000B54A2" w:rsidRPr="00A51A7C">
        <w:rPr>
          <w:rFonts w:cs="Times"/>
          <w:vertAlign w:val="superscript"/>
        </w:rPr>
        <w:t>152</w:t>
      </w:r>
      <w:r w:rsidR="000B54A2" w:rsidRPr="00A51A7C">
        <w:rPr>
          <w:rFonts w:cs="Times"/>
        </w:rPr>
        <w:t>SmCl</w:t>
      </w:r>
      <w:r w:rsidR="000B54A2" w:rsidRPr="00A51A7C">
        <w:rPr>
          <w:rFonts w:cs="Times"/>
          <w:vertAlign w:val="subscript"/>
        </w:rPr>
        <w:t>3</w:t>
      </w:r>
      <w:r w:rsidR="000B54A2" w:rsidRPr="00A51A7C">
        <w:rPr>
          <w:rFonts w:cs="Times"/>
        </w:rPr>
        <w:t xml:space="preserve"> (10 mg) that was employed for the bulk filling of CNTs (1 mg), only a small fraction of the metal halide was encapsulated (ca. 2 % according to the filling yield). With the present strategy, the non-encapsulated </w:t>
      </w:r>
      <w:r w:rsidR="000B54A2" w:rsidRPr="00A51A7C">
        <w:rPr>
          <w:rFonts w:cs="Times"/>
          <w:vertAlign w:val="superscript"/>
        </w:rPr>
        <w:t>152</w:t>
      </w:r>
      <w:r w:rsidR="000B54A2" w:rsidRPr="00A51A7C">
        <w:rPr>
          <w:rFonts w:cs="Times"/>
        </w:rPr>
        <w:t>SmCl</w:t>
      </w:r>
      <w:r w:rsidR="000B54A2" w:rsidRPr="00A51A7C">
        <w:rPr>
          <w:rFonts w:cs="Times"/>
          <w:vertAlign w:val="subscript"/>
        </w:rPr>
        <w:t>3</w:t>
      </w:r>
      <w:r w:rsidR="000B54A2" w:rsidRPr="00A51A7C">
        <w:rPr>
          <w:rFonts w:cs="Times"/>
        </w:rPr>
        <w:t>, dissolved during the washing steps, is recovered by filtration. This compound is an enriched non-radioactive form of samarium which can be dried (from the collected filtrate), stored and employed in further filling experiments. Therefore, no samarium waste is generated in the filling step.</w:t>
      </w:r>
    </w:p>
    <w:p w:rsidR="000B54A2" w:rsidRPr="00A51A7C" w:rsidRDefault="000B54A2" w:rsidP="00D658CB">
      <w:pPr>
        <w:spacing w:after="0" w:line="480" w:lineRule="auto"/>
        <w:ind w:firstLine="204"/>
        <w:rPr>
          <w:rFonts w:cs="Times"/>
        </w:rPr>
      </w:pPr>
      <w:r w:rsidRPr="00A51A7C">
        <w:rPr>
          <w:rFonts w:cs="Times"/>
        </w:rPr>
        <w:t xml:space="preserve">Neutron activation is favored in radionuclide production because of its relatively simple process and the availability of various types of nuclear reactors. It also permits lower radiation exposure to the personnel since the preparation procedures such as encapsulation, purification and characterization can be conducted prior to irradiation. Exceptionally high specific </w:t>
      </w:r>
      <w:proofErr w:type="spellStart"/>
      <w:r w:rsidRPr="00A51A7C">
        <w:rPr>
          <w:rFonts w:cs="Times"/>
        </w:rPr>
        <w:t>radioactivities</w:t>
      </w:r>
      <w:proofErr w:type="spellEnd"/>
      <w:r w:rsidRPr="00A51A7C">
        <w:rPr>
          <w:rFonts w:cs="Times"/>
        </w:rPr>
        <w:t xml:space="preserve"> (SRA) </w:t>
      </w:r>
      <w:r w:rsidR="00B72755" w:rsidRPr="00A51A7C">
        <w:rPr>
          <w:rFonts w:cs="Times"/>
        </w:rPr>
        <w:t xml:space="preserve">with respect to the mass of the composite material </w:t>
      </w:r>
      <w:r w:rsidRPr="00A51A7C">
        <w:rPr>
          <w:rFonts w:cs="Times"/>
        </w:rPr>
        <w:t xml:space="preserve">were obtained after 96 h neutron irradiation of </w:t>
      </w:r>
      <w:r w:rsidRPr="00A51A7C">
        <w:rPr>
          <w:rFonts w:cs="Times"/>
          <w:bCs/>
          <w:vertAlign w:val="superscript"/>
        </w:rPr>
        <w:t>152</w:t>
      </w:r>
      <w:r w:rsidRPr="00A51A7C">
        <w:rPr>
          <w:rFonts w:cs="Times"/>
          <w:bCs/>
        </w:rPr>
        <w:t>Sm@SWNTs (</w:t>
      </w:r>
      <w:r w:rsidRPr="00A51A7C">
        <w:rPr>
          <w:rFonts w:cs="Times"/>
        </w:rPr>
        <w:t xml:space="preserve">6.33 </w:t>
      </w:r>
      <w:proofErr w:type="spellStart"/>
      <w:r w:rsidRPr="00A51A7C">
        <w:rPr>
          <w:rFonts w:cs="Times"/>
          <w:bCs/>
        </w:rPr>
        <w:t>GBq</w:t>
      </w:r>
      <w:proofErr w:type="spellEnd"/>
      <w:r w:rsidRPr="00A51A7C">
        <w:rPr>
          <w:rFonts w:cs="Times"/>
          <w:bCs/>
        </w:rPr>
        <w:t xml:space="preserve">/mg) and </w:t>
      </w:r>
      <w:r w:rsidRPr="00A51A7C">
        <w:rPr>
          <w:rFonts w:cs="Times"/>
          <w:bCs/>
          <w:vertAlign w:val="superscript"/>
        </w:rPr>
        <w:t>152</w:t>
      </w:r>
      <w:r w:rsidRPr="00A51A7C">
        <w:rPr>
          <w:rFonts w:cs="Times"/>
          <w:bCs/>
        </w:rPr>
        <w:t>Sm@MWNT (</w:t>
      </w:r>
      <w:r w:rsidRPr="00A51A7C">
        <w:rPr>
          <w:rFonts w:cs="Times"/>
        </w:rPr>
        <w:t xml:space="preserve">11.37 </w:t>
      </w:r>
      <w:proofErr w:type="spellStart"/>
      <w:r w:rsidRPr="00A51A7C">
        <w:rPr>
          <w:rFonts w:cs="Times"/>
          <w:bCs/>
        </w:rPr>
        <w:t>GBq</w:t>
      </w:r>
      <w:proofErr w:type="spellEnd"/>
      <w:r w:rsidRPr="00A51A7C">
        <w:rPr>
          <w:rFonts w:cs="Times"/>
          <w:bCs/>
        </w:rPr>
        <w:t xml:space="preserve">/mg) (Table 1). The SRA values are two orders of magnitude (differ by a factor of about 100) higher than those previously reported for neutron irradiated </w:t>
      </w:r>
      <w:proofErr w:type="spellStart"/>
      <w:r w:rsidRPr="00A51A7C">
        <w:rPr>
          <w:rFonts w:cs="Times"/>
          <w:bCs/>
        </w:rPr>
        <w:t>nanocarriers</w:t>
      </w:r>
      <w:proofErr w:type="spellEnd"/>
      <w:r w:rsidRPr="00A51A7C">
        <w:rPr>
          <w:rFonts w:cs="Times"/>
          <w:bCs/>
        </w:rPr>
        <w:t xml:space="preserve"> loaded with clinically relevant </w:t>
      </w:r>
      <w:proofErr w:type="spellStart"/>
      <w:r w:rsidRPr="00A51A7C">
        <w:rPr>
          <w:rFonts w:cs="Times"/>
          <w:bCs/>
        </w:rPr>
        <w:lastRenderedPageBreak/>
        <w:t>radiotherapeutic</w:t>
      </w:r>
      <w:proofErr w:type="spellEnd"/>
      <w:r w:rsidRPr="00A51A7C">
        <w:rPr>
          <w:rFonts w:cs="Times"/>
          <w:bCs/>
        </w:rPr>
        <w:t xml:space="preserve"> isotopes, which are in the range of ca. 1-80 </w:t>
      </w:r>
      <w:proofErr w:type="spellStart"/>
      <w:r w:rsidRPr="00A51A7C">
        <w:rPr>
          <w:rFonts w:cs="Times"/>
          <w:bCs/>
        </w:rPr>
        <w:t>MBq</w:t>
      </w:r>
      <w:proofErr w:type="spellEnd"/>
      <w:r w:rsidRPr="00A51A7C">
        <w:rPr>
          <w:rFonts w:cs="Times"/>
          <w:bCs/>
        </w:rPr>
        <w:t>/mg (Table S</w:t>
      </w:r>
      <w:r w:rsidR="000332D1" w:rsidRPr="00A51A7C">
        <w:rPr>
          <w:rFonts w:cs="Times"/>
          <w:bCs/>
        </w:rPr>
        <w:t>3</w:t>
      </w:r>
      <w:r w:rsidRPr="00A51A7C">
        <w:rPr>
          <w:rFonts w:cs="Times"/>
          <w:bCs/>
        </w:rPr>
        <w:t>).</w:t>
      </w:r>
      <w:proofErr w:type="gramStart"/>
      <w:r w:rsidR="00667C01" w:rsidRPr="00A51A7C">
        <w:rPr>
          <w:rFonts w:cs="Times"/>
          <w:bCs/>
          <w:noProof/>
          <w:vertAlign w:val="superscript"/>
        </w:rPr>
        <w:t>64</w:t>
      </w:r>
      <w:r w:rsidRPr="00A51A7C">
        <w:rPr>
          <w:rFonts w:cs="Times"/>
          <w:bCs/>
        </w:rPr>
        <w:t xml:space="preserve">  </w:t>
      </w:r>
      <w:r w:rsidR="00180AAC" w:rsidRPr="00A51A7C">
        <w:rPr>
          <w:rFonts w:cs="Times"/>
          <w:bCs/>
        </w:rPr>
        <w:t>This</w:t>
      </w:r>
      <w:proofErr w:type="gramEnd"/>
      <w:r w:rsidR="00180AAC" w:rsidRPr="00A51A7C">
        <w:rPr>
          <w:rFonts w:cs="Times"/>
          <w:bCs/>
        </w:rPr>
        <w:t xml:space="preserve"> is due to the high neutron flux and </w:t>
      </w:r>
      <w:r w:rsidR="00727D92" w:rsidRPr="00A51A7C">
        <w:rPr>
          <w:rFonts w:cs="Times"/>
          <w:bCs/>
        </w:rPr>
        <w:t xml:space="preserve">long irradiation </w:t>
      </w:r>
      <w:r w:rsidR="00180AAC" w:rsidRPr="00A51A7C">
        <w:rPr>
          <w:rFonts w:cs="Times"/>
          <w:bCs/>
        </w:rPr>
        <w:t xml:space="preserve">time employed in the present study </w:t>
      </w:r>
      <w:r w:rsidR="00727D92" w:rsidRPr="00A51A7C">
        <w:rPr>
          <w:rFonts w:cs="Times"/>
          <w:bCs/>
        </w:rPr>
        <w:t xml:space="preserve">taking into account the amount of </w:t>
      </w:r>
      <w:r w:rsidR="00727D92" w:rsidRPr="00A51A7C">
        <w:rPr>
          <w:rFonts w:cs="Times"/>
          <w:bCs/>
          <w:vertAlign w:val="superscript"/>
        </w:rPr>
        <w:t>152</w:t>
      </w:r>
      <w:r w:rsidR="00727D92" w:rsidRPr="00A51A7C">
        <w:rPr>
          <w:rFonts w:cs="Times"/>
          <w:bCs/>
        </w:rPr>
        <w:t>Sm loading</w:t>
      </w:r>
      <w:r w:rsidR="00180AAC" w:rsidRPr="00A51A7C">
        <w:rPr>
          <w:rFonts w:cs="Times"/>
          <w:bCs/>
        </w:rPr>
        <w:t xml:space="preserve">. </w:t>
      </w:r>
      <w:r w:rsidRPr="00A51A7C">
        <w:rPr>
          <w:rFonts w:cs="Times"/>
          <w:bCs/>
        </w:rPr>
        <w:t>In fact, such high SRA are in line of those achieved by neutron irradiation of pure elements or their oxides for industrial applications.</w:t>
      </w:r>
      <w:r w:rsidR="00667C01" w:rsidRPr="00A51A7C">
        <w:rPr>
          <w:rFonts w:cs="Times"/>
          <w:bCs/>
          <w:noProof/>
          <w:vertAlign w:val="superscript"/>
        </w:rPr>
        <w:t>63</w:t>
      </w:r>
      <w:r w:rsidRPr="00A51A7C">
        <w:rPr>
          <w:rFonts w:cs="Times"/>
          <w:bCs/>
        </w:rPr>
        <w:t xml:space="preserve"> </w:t>
      </w:r>
    </w:p>
    <w:p w:rsidR="000B54A2" w:rsidRPr="00A51A7C" w:rsidRDefault="00B2084B" w:rsidP="00D658CB">
      <w:pPr>
        <w:spacing w:after="0" w:line="480" w:lineRule="auto"/>
        <w:ind w:firstLine="204"/>
        <w:rPr>
          <w:rFonts w:cs="Times"/>
          <w:bCs/>
        </w:rPr>
      </w:pPr>
      <w:r w:rsidRPr="00A51A7C">
        <w:rPr>
          <w:rFonts w:cs="Times"/>
          <w:b/>
        </w:rPr>
        <w:t>Structural examination of the nanocapsules before (</w:t>
      </w:r>
      <w:r w:rsidRPr="00A51A7C">
        <w:rPr>
          <w:rFonts w:cs="Times"/>
          <w:b/>
          <w:vertAlign w:val="superscript"/>
        </w:rPr>
        <w:t>152</w:t>
      </w:r>
      <w:r w:rsidRPr="00A51A7C">
        <w:rPr>
          <w:rFonts w:cs="Times"/>
          <w:b/>
        </w:rPr>
        <w:t>Sm@CNT) and after (</w:t>
      </w:r>
      <w:r w:rsidRPr="00A51A7C">
        <w:rPr>
          <w:rFonts w:cs="Times"/>
          <w:b/>
          <w:vertAlign w:val="superscript"/>
        </w:rPr>
        <w:t>153</w:t>
      </w:r>
      <w:r w:rsidRPr="00A51A7C">
        <w:rPr>
          <w:rFonts w:cs="Times"/>
          <w:b/>
        </w:rPr>
        <w:t xml:space="preserve">Sm@CNT) neutron irradiation. </w:t>
      </w:r>
      <w:r w:rsidR="000B54A2" w:rsidRPr="00A51A7C">
        <w:rPr>
          <w:rFonts w:cs="Times"/>
          <w:bCs/>
        </w:rPr>
        <w:t xml:space="preserve">Instant thin-layer chromatography (ITLC) examination was performed for </w:t>
      </w:r>
      <w:r w:rsidR="000B54A2" w:rsidRPr="00A51A7C">
        <w:rPr>
          <w:rFonts w:cs="Times"/>
          <w:bCs/>
          <w:vertAlign w:val="superscript"/>
        </w:rPr>
        <w:t>153</w:t>
      </w:r>
      <w:r w:rsidR="000B54A2" w:rsidRPr="00A51A7C">
        <w:rPr>
          <w:rFonts w:cs="Times"/>
          <w:bCs/>
        </w:rPr>
        <w:t xml:space="preserve">Sm@SWNT and </w:t>
      </w:r>
      <w:r w:rsidR="000B54A2" w:rsidRPr="00A51A7C">
        <w:rPr>
          <w:rFonts w:cs="Times"/>
          <w:bCs/>
          <w:vertAlign w:val="superscript"/>
        </w:rPr>
        <w:t>153</w:t>
      </w:r>
      <w:r w:rsidR="000B54A2" w:rsidRPr="00A51A7C">
        <w:rPr>
          <w:rFonts w:cs="Times"/>
          <w:bCs/>
        </w:rPr>
        <w:t xml:space="preserve">Sm@MWNT to evaluate whether neutron irradiation had caused any structural damage to the carbon nanocapsules that could result in leakage of </w:t>
      </w:r>
      <w:r w:rsidR="000B54A2" w:rsidRPr="00A51A7C">
        <w:rPr>
          <w:rFonts w:cs="Times"/>
          <w:bCs/>
          <w:vertAlign w:val="superscript"/>
        </w:rPr>
        <w:t>152</w:t>
      </w:r>
      <w:r w:rsidR="000B54A2" w:rsidRPr="00A51A7C">
        <w:rPr>
          <w:rFonts w:cs="Times"/>
          <w:bCs/>
        </w:rPr>
        <w:t>Sm from their interior. Based on recent studies on non-enriched SmCl</w:t>
      </w:r>
      <w:r w:rsidR="000B54A2" w:rsidRPr="00A51A7C">
        <w:rPr>
          <w:rFonts w:cs="Times"/>
          <w:bCs/>
          <w:vertAlign w:val="subscript"/>
        </w:rPr>
        <w:t>3</w:t>
      </w:r>
      <w:r w:rsidR="000B54A2" w:rsidRPr="00A51A7C">
        <w:rPr>
          <w:rFonts w:cs="Times"/>
          <w:bCs/>
        </w:rPr>
        <w:t xml:space="preserve"> nanocapsules, over 99% of SmCl</w:t>
      </w:r>
      <w:r w:rsidR="000B54A2" w:rsidRPr="00A51A7C">
        <w:rPr>
          <w:rFonts w:cs="Times"/>
          <w:bCs/>
          <w:vertAlign w:val="subscript"/>
        </w:rPr>
        <w:t>3</w:t>
      </w:r>
      <w:r w:rsidR="000B54A2" w:rsidRPr="00A51A7C">
        <w:rPr>
          <w:rFonts w:cs="Times"/>
          <w:bCs/>
        </w:rPr>
        <w:t xml:space="preserve"> that is not sealed inside the CNTs can be easily dissolved by a short sonication (10 s) of the sample in water.</w:t>
      </w:r>
      <w:r w:rsidR="00667C01" w:rsidRPr="00A51A7C">
        <w:rPr>
          <w:rFonts w:cs="Times"/>
          <w:bCs/>
          <w:noProof/>
          <w:vertAlign w:val="superscript"/>
        </w:rPr>
        <w:t>65</w:t>
      </w:r>
      <w:r w:rsidR="000B54A2" w:rsidRPr="00A51A7C">
        <w:rPr>
          <w:rFonts w:cs="Times"/>
          <w:bCs/>
        </w:rPr>
        <w:t xml:space="preserve"> Therefore, to ensure the complete dissolution of </w:t>
      </w:r>
      <w:r w:rsidR="000B54A2" w:rsidRPr="00A51A7C">
        <w:rPr>
          <w:rFonts w:cs="Times"/>
          <w:bCs/>
          <w:vertAlign w:val="superscript"/>
        </w:rPr>
        <w:t>153</w:t>
      </w:r>
      <w:r w:rsidR="000B54A2" w:rsidRPr="00A51A7C">
        <w:rPr>
          <w:rFonts w:cs="Times"/>
          <w:bCs/>
        </w:rPr>
        <w:t>Sm from the inner cavities of those CNTs that could have undergone structural damage, a longer sonication step (several min) in water was performed. As shown in Table 1 and Figure S</w:t>
      </w:r>
      <w:r w:rsidR="000332D1" w:rsidRPr="00A51A7C">
        <w:rPr>
          <w:rFonts w:cs="Times"/>
          <w:bCs/>
        </w:rPr>
        <w:t>4</w:t>
      </w:r>
      <w:r w:rsidR="000B54A2" w:rsidRPr="00A51A7C">
        <w:rPr>
          <w:rFonts w:cs="Times"/>
          <w:bCs/>
        </w:rPr>
        <w:t xml:space="preserve"> a </w:t>
      </w:r>
      <w:r w:rsidR="00734ACC" w:rsidRPr="00A51A7C">
        <w:rPr>
          <w:rFonts w:cs="Times"/>
          <w:bCs/>
        </w:rPr>
        <w:t>large</w:t>
      </w:r>
      <w:r w:rsidR="000B54A2" w:rsidRPr="00A51A7C">
        <w:rPr>
          <w:rFonts w:cs="Times"/>
          <w:bCs/>
        </w:rPr>
        <w:t xml:space="preserve"> amount of </w:t>
      </w:r>
      <w:r w:rsidR="000B54A2" w:rsidRPr="00A51A7C">
        <w:rPr>
          <w:rFonts w:cs="Times"/>
          <w:bCs/>
          <w:vertAlign w:val="superscript"/>
        </w:rPr>
        <w:t>153</w:t>
      </w:r>
      <w:r w:rsidR="000B54A2" w:rsidRPr="00A51A7C">
        <w:rPr>
          <w:rFonts w:cs="Times"/>
          <w:bCs/>
        </w:rPr>
        <w:t>Sm remained sealed in the cavities of MWNT (92%) and SWNT (70%), despite the high neutron flux (</w:t>
      </w:r>
      <w:r w:rsidR="000B54A2" w:rsidRPr="00A51A7C">
        <w:rPr>
          <w:rFonts w:cs="Times"/>
        </w:rPr>
        <w:t>1.6x10</w:t>
      </w:r>
      <w:r w:rsidR="000B54A2" w:rsidRPr="00A51A7C">
        <w:rPr>
          <w:rFonts w:cs="Times"/>
          <w:vertAlign w:val="superscript"/>
        </w:rPr>
        <w:t>14</w:t>
      </w:r>
      <w:r w:rsidR="000B54A2" w:rsidRPr="00A51A7C">
        <w:rPr>
          <w:rFonts w:cs="Times"/>
        </w:rPr>
        <w:t xml:space="preserve"> n cm</w:t>
      </w:r>
      <w:r w:rsidR="000B54A2" w:rsidRPr="00A51A7C">
        <w:rPr>
          <w:rFonts w:cs="Times"/>
          <w:vertAlign w:val="superscript"/>
        </w:rPr>
        <w:t>-2</w:t>
      </w:r>
      <w:r w:rsidR="000B54A2" w:rsidRPr="00A51A7C">
        <w:rPr>
          <w:rFonts w:cs="Times"/>
        </w:rPr>
        <w:t>s</w:t>
      </w:r>
      <w:r w:rsidR="000B54A2" w:rsidRPr="00A51A7C">
        <w:rPr>
          <w:rFonts w:cs="Times"/>
          <w:vertAlign w:val="superscript"/>
        </w:rPr>
        <w:t>-1</w:t>
      </w:r>
      <w:r w:rsidR="000B54A2" w:rsidRPr="00A51A7C">
        <w:rPr>
          <w:rFonts w:cs="Times"/>
          <w:bCs/>
        </w:rPr>
        <w:t xml:space="preserve">) and long neutron irradiation time employed (96 h) to achieve high SRA. Milder irradiation conditions are usually used to prevent/decrease degradation of the carrier during neutron activation. Comparison of SRA under different conditions is included in Table S1. The fraction of </w:t>
      </w:r>
      <w:r w:rsidR="000B54A2" w:rsidRPr="00A51A7C">
        <w:rPr>
          <w:rFonts w:cs="Times"/>
          <w:bCs/>
          <w:vertAlign w:val="superscript"/>
        </w:rPr>
        <w:t>153</w:t>
      </w:r>
      <w:r w:rsidR="000B54A2" w:rsidRPr="00A51A7C">
        <w:rPr>
          <w:rFonts w:cs="Times"/>
          <w:bCs/>
        </w:rPr>
        <w:t xml:space="preserve">Sm external to the CNT walls could be either chelated prior to </w:t>
      </w:r>
      <w:r w:rsidR="000B54A2" w:rsidRPr="00A51A7C">
        <w:rPr>
          <w:rFonts w:cs="Times"/>
          <w:bCs/>
          <w:i/>
        </w:rPr>
        <w:t>in vivo</w:t>
      </w:r>
      <w:r w:rsidR="000B54A2" w:rsidRPr="00A51A7C">
        <w:rPr>
          <w:rFonts w:cs="Times"/>
          <w:bCs/>
        </w:rPr>
        <w:t xml:space="preserve"> studies or washed from the sample resulting in a minimal amount of radioactive waste, compared to the previously employed strategy where radionuclides were directly filled into CNTs. </w:t>
      </w:r>
      <w:r w:rsidR="000B54A2" w:rsidRPr="00A51A7C">
        <w:rPr>
          <w:rFonts w:cs="Times"/>
        </w:rPr>
        <w:t xml:space="preserve">The presence of several concentric graphene layers resulted in a more stable construct to the flux of neutrons. Therefore, although </w:t>
      </w:r>
      <w:r w:rsidR="000B54A2" w:rsidRPr="00A51A7C">
        <w:rPr>
          <w:rFonts w:cs="Times"/>
          <w:vertAlign w:val="superscript"/>
        </w:rPr>
        <w:t>152</w:t>
      </w:r>
      <w:r w:rsidR="000B54A2" w:rsidRPr="00A51A7C">
        <w:rPr>
          <w:rFonts w:cs="Times"/>
        </w:rPr>
        <w:t xml:space="preserve">Sm can be activated inside both MWNT and SWNT, the former turned out to be more robust for the preparation of ‘hot’ nanocapsules by neutron irradiation. Even higher fractions of </w:t>
      </w:r>
      <w:r w:rsidR="000B54A2" w:rsidRPr="00A51A7C">
        <w:rPr>
          <w:rFonts w:cs="Times"/>
        </w:rPr>
        <w:lastRenderedPageBreak/>
        <w:t xml:space="preserve">permanently sealed </w:t>
      </w:r>
      <w:r w:rsidR="000B54A2" w:rsidRPr="00A51A7C">
        <w:rPr>
          <w:rFonts w:cs="Times"/>
          <w:vertAlign w:val="superscript"/>
        </w:rPr>
        <w:t>152</w:t>
      </w:r>
      <w:r w:rsidR="000B54A2" w:rsidRPr="00A51A7C">
        <w:rPr>
          <w:rFonts w:cs="Times"/>
        </w:rPr>
        <w:t>Sm would be expected in both constructs by decreasing the time and flux of neutron irradiation, with the corresponding reduction of SRA (according to equation (1)).</w:t>
      </w:r>
    </w:p>
    <w:p w:rsidR="000B54A2" w:rsidRPr="00A51A7C" w:rsidRDefault="000B54A2" w:rsidP="00D658CB">
      <w:pPr>
        <w:spacing w:after="0" w:line="480" w:lineRule="auto"/>
        <w:ind w:firstLine="204"/>
        <w:rPr>
          <w:rFonts w:cs="Times"/>
        </w:rPr>
      </w:pPr>
      <w:r w:rsidRPr="00A51A7C">
        <w:rPr>
          <w:rFonts w:cs="Times"/>
        </w:rPr>
        <w:t xml:space="preserve">Transmission electron microscopy (TEM) allowed us to evaluate the effect of neutron irradiation on the </w:t>
      </w:r>
      <w:r w:rsidRPr="00A51A7C">
        <w:rPr>
          <w:rFonts w:cs="Times"/>
          <w:vertAlign w:val="superscript"/>
        </w:rPr>
        <w:t>152</w:t>
      </w:r>
      <w:r w:rsidRPr="00A51A7C">
        <w:rPr>
          <w:rFonts w:cs="Times"/>
        </w:rPr>
        <w:t xml:space="preserve">Sm-filled CNTs. Encapsulated </w:t>
      </w:r>
      <w:r w:rsidRPr="00A51A7C">
        <w:rPr>
          <w:rFonts w:cs="Times"/>
          <w:vertAlign w:val="superscript"/>
        </w:rPr>
        <w:t>152</w:t>
      </w:r>
      <w:r w:rsidRPr="00A51A7C">
        <w:rPr>
          <w:rFonts w:cs="Times"/>
        </w:rPr>
        <w:t>SmCl</w:t>
      </w:r>
      <w:r w:rsidRPr="00A51A7C">
        <w:rPr>
          <w:rFonts w:cs="Times"/>
          <w:vertAlign w:val="subscript"/>
        </w:rPr>
        <w:t>3</w:t>
      </w:r>
      <w:r w:rsidRPr="00A51A7C">
        <w:rPr>
          <w:rFonts w:cs="Times"/>
        </w:rPr>
        <w:t xml:space="preserve"> can be observed in the high resolution TEM (HRTEM) images of </w:t>
      </w:r>
      <w:r w:rsidRPr="00A51A7C">
        <w:rPr>
          <w:rFonts w:cs="Times"/>
          <w:vertAlign w:val="superscript"/>
        </w:rPr>
        <w:t>152</w:t>
      </w:r>
      <w:r w:rsidRPr="00A51A7C">
        <w:rPr>
          <w:rFonts w:cs="Times"/>
        </w:rPr>
        <w:t xml:space="preserve">Sm@SWNT and </w:t>
      </w:r>
      <w:r w:rsidRPr="00A51A7C">
        <w:rPr>
          <w:rFonts w:cs="Times"/>
          <w:vertAlign w:val="superscript"/>
        </w:rPr>
        <w:t>152</w:t>
      </w:r>
      <w:r w:rsidRPr="00A51A7C">
        <w:rPr>
          <w:rFonts w:cs="Times"/>
        </w:rPr>
        <w:t xml:space="preserve">Sm@MWNT before irradiation (Figure 1b, top panels). The filled metal halides were still present in both types of CNTs (black arrows) after irradiation without evident damage on the nanotube structure. It is important to note that the ends of the carbon nanotubes remain sealed after neutron irradiation (pointed with white arrows). </w:t>
      </w:r>
      <w:r w:rsidR="009844D8" w:rsidRPr="00A51A7C">
        <w:rPr>
          <w:rFonts w:cs="Times"/>
        </w:rPr>
        <w:t>Additional TEM images for both ‘cold’ and ‘hot’ nanocapsules are included in Figure S</w:t>
      </w:r>
      <w:r w:rsidR="000332D1" w:rsidRPr="00A51A7C">
        <w:rPr>
          <w:rFonts w:cs="Times"/>
        </w:rPr>
        <w:t>5</w:t>
      </w:r>
      <w:r w:rsidR="009844D8" w:rsidRPr="00A51A7C">
        <w:rPr>
          <w:rFonts w:cs="Times"/>
        </w:rPr>
        <w:t xml:space="preserve">. </w:t>
      </w:r>
      <w:r w:rsidRPr="00A51A7C">
        <w:rPr>
          <w:rFonts w:cs="Times"/>
        </w:rPr>
        <w:t>Structural changes of the encapsulated crystals are sometimes observed during electron microscopy imaging.</w:t>
      </w:r>
      <w:r w:rsidR="00667C01" w:rsidRPr="00A51A7C">
        <w:rPr>
          <w:rFonts w:cs="Times"/>
          <w:noProof/>
          <w:vertAlign w:val="superscript"/>
        </w:rPr>
        <w:t>66-71</w:t>
      </w:r>
      <w:r w:rsidRPr="00A51A7C">
        <w:rPr>
          <w:rFonts w:cs="Times"/>
        </w:rPr>
        <w:t xml:space="preserve"> </w:t>
      </w:r>
      <w:proofErr w:type="gramStart"/>
      <w:r w:rsidRPr="00A51A7C">
        <w:rPr>
          <w:rFonts w:cs="Times"/>
        </w:rPr>
        <w:t>In</w:t>
      </w:r>
      <w:proofErr w:type="gramEnd"/>
      <w:r w:rsidRPr="00A51A7C">
        <w:rPr>
          <w:rFonts w:cs="Times"/>
        </w:rPr>
        <w:t xml:space="preserve"> the present case we observed that in some cases, SmCl</w:t>
      </w:r>
      <w:r w:rsidRPr="00A51A7C">
        <w:rPr>
          <w:rFonts w:cs="Times"/>
          <w:vertAlign w:val="subscript"/>
        </w:rPr>
        <w:t>3</w:t>
      </w:r>
      <w:r w:rsidRPr="00A51A7C">
        <w:rPr>
          <w:rFonts w:cs="Times"/>
        </w:rPr>
        <w:t xml:space="preserve"> nanowires were fragmented into smaller crystals (Figure S</w:t>
      </w:r>
      <w:r w:rsidR="000332D1" w:rsidRPr="00A51A7C">
        <w:rPr>
          <w:rFonts w:cs="Times"/>
        </w:rPr>
        <w:t>6</w:t>
      </w:r>
      <w:r w:rsidRPr="00A51A7C">
        <w:rPr>
          <w:rFonts w:cs="Times"/>
        </w:rPr>
        <w:t>). Preservation of the payload encapsulation was further confirmed by high angle annular dark field (HAADF) scanning transmission electron microscopy (STEM) (Figure 1b, central panels). The SmCl</w:t>
      </w:r>
      <w:r w:rsidRPr="00A51A7C">
        <w:rPr>
          <w:rFonts w:cs="Times"/>
          <w:vertAlign w:val="subscript"/>
        </w:rPr>
        <w:t xml:space="preserve">3 </w:t>
      </w:r>
      <w:r w:rsidRPr="00A51A7C">
        <w:rPr>
          <w:rFonts w:cs="Times"/>
        </w:rPr>
        <w:t xml:space="preserve">filling (bright white lines) aligned nicely within the CNT lumen (dim grey contrast) even following irradiation also indicating the presence of filling material. </w:t>
      </w:r>
    </w:p>
    <w:p w:rsidR="000B54A2" w:rsidRPr="00A51A7C" w:rsidRDefault="000B54A2" w:rsidP="00D658CB">
      <w:pPr>
        <w:spacing w:after="0" w:line="480" w:lineRule="auto"/>
        <w:ind w:firstLine="204"/>
        <w:rPr>
          <w:rFonts w:cs="Times"/>
        </w:rPr>
      </w:pPr>
      <w:r w:rsidRPr="00A51A7C">
        <w:rPr>
          <w:rFonts w:cs="Times"/>
        </w:rPr>
        <w:t xml:space="preserve">Energy dispersive X-ray (EDX) spectroscopy was conducted to assess the preservation of the payload content upon irradiation. The presence of samarium was detected before and after irradiation (Figure 1b, bottom panels). Europium, the decay product of </w:t>
      </w:r>
      <w:r w:rsidRPr="00A51A7C">
        <w:rPr>
          <w:rFonts w:cs="Times"/>
          <w:vertAlign w:val="superscript"/>
        </w:rPr>
        <w:t>153</w:t>
      </w:r>
      <w:r w:rsidRPr="00A51A7C">
        <w:rPr>
          <w:rFonts w:cs="Times"/>
        </w:rPr>
        <w:t xml:space="preserve">Sm, was not detected by EDX </w:t>
      </w:r>
      <w:r w:rsidR="001A1654" w:rsidRPr="00A51A7C">
        <w:rPr>
          <w:rFonts w:cs="Times"/>
        </w:rPr>
        <w:t>because</w:t>
      </w:r>
      <w:r w:rsidRPr="00A51A7C">
        <w:rPr>
          <w:rFonts w:cs="Times"/>
        </w:rPr>
        <w:t xml:space="preserve"> despite the high SRA </w:t>
      </w:r>
      <w:r w:rsidR="001A1654" w:rsidRPr="00A51A7C">
        <w:rPr>
          <w:rFonts w:cs="Times"/>
        </w:rPr>
        <w:t>less than 1% of</w:t>
      </w:r>
      <w:r w:rsidRPr="00A51A7C">
        <w:rPr>
          <w:rFonts w:cs="Times"/>
        </w:rPr>
        <w:t xml:space="preserve"> </w:t>
      </w:r>
      <w:r w:rsidRPr="00A51A7C">
        <w:rPr>
          <w:rFonts w:cs="Times"/>
          <w:vertAlign w:val="superscript"/>
        </w:rPr>
        <w:t>152</w:t>
      </w:r>
      <w:r w:rsidRPr="00A51A7C">
        <w:rPr>
          <w:rFonts w:cs="Times"/>
        </w:rPr>
        <w:t xml:space="preserve">Sm nuclei underwent nuclear reaction to radioactive </w:t>
      </w:r>
      <w:r w:rsidRPr="00A51A7C">
        <w:rPr>
          <w:rFonts w:cs="Times"/>
          <w:vertAlign w:val="superscript"/>
        </w:rPr>
        <w:t>153</w:t>
      </w:r>
      <w:r w:rsidRPr="00A51A7C">
        <w:rPr>
          <w:rFonts w:cs="Times"/>
        </w:rPr>
        <w:t>Sm under the employed conditions.</w:t>
      </w:r>
    </w:p>
    <w:p w:rsidR="000B54A2" w:rsidRPr="00A51A7C" w:rsidRDefault="00B2084B" w:rsidP="00D658CB">
      <w:pPr>
        <w:spacing w:after="0" w:line="480" w:lineRule="auto"/>
        <w:ind w:firstLine="204"/>
        <w:rPr>
          <w:rFonts w:cs="Times"/>
          <w:bCs/>
        </w:rPr>
      </w:pPr>
      <w:r w:rsidRPr="00A51A7C">
        <w:rPr>
          <w:rFonts w:cs="Times"/>
          <w:b/>
        </w:rPr>
        <w:t xml:space="preserve">Whole body SPECT/CT imaging and tissue </w:t>
      </w:r>
      <w:proofErr w:type="spellStart"/>
      <w:r w:rsidRPr="00A51A7C">
        <w:rPr>
          <w:rFonts w:cs="Times"/>
          <w:b/>
        </w:rPr>
        <w:t>biodistribution</w:t>
      </w:r>
      <w:proofErr w:type="spellEnd"/>
      <w:r w:rsidRPr="00A51A7C">
        <w:rPr>
          <w:rFonts w:cs="Times"/>
          <w:b/>
        </w:rPr>
        <w:t xml:space="preserve"> of </w:t>
      </w:r>
      <w:r w:rsidRPr="00A51A7C">
        <w:rPr>
          <w:rFonts w:cs="Times"/>
          <w:b/>
          <w:vertAlign w:val="superscript"/>
        </w:rPr>
        <w:t>153</w:t>
      </w:r>
      <w:r w:rsidRPr="00A51A7C">
        <w:rPr>
          <w:rFonts w:cs="Times"/>
          <w:b/>
        </w:rPr>
        <w:t xml:space="preserve">Sm@CNTs in normal mice following </w:t>
      </w:r>
      <w:proofErr w:type="spellStart"/>
      <w:r w:rsidRPr="00A51A7C">
        <w:rPr>
          <w:rFonts w:cs="Times"/>
          <w:b/>
        </w:rPr>
        <w:t>i.v.</w:t>
      </w:r>
      <w:proofErr w:type="spellEnd"/>
      <w:r w:rsidRPr="00A51A7C">
        <w:rPr>
          <w:rFonts w:cs="Times"/>
          <w:b/>
        </w:rPr>
        <w:t xml:space="preserve"> injection.</w:t>
      </w:r>
      <w:r w:rsidRPr="00A51A7C">
        <w:rPr>
          <w:rFonts w:cs="Times"/>
        </w:rPr>
        <w:t xml:space="preserve"> </w:t>
      </w:r>
      <w:r w:rsidR="000B54A2" w:rsidRPr="00A51A7C">
        <w:rPr>
          <w:rFonts w:cs="Times"/>
        </w:rPr>
        <w:t xml:space="preserve">The </w:t>
      </w:r>
      <w:r w:rsidR="000B54A2" w:rsidRPr="00A51A7C">
        <w:rPr>
          <w:rFonts w:cs="Times"/>
          <w:vertAlign w:val="superscript"/>
        </w:rPr>
        <w:t>153</w:t>
      </w:r>
      <w:r w:rsidR="000B54A2" w:rsidRPr="00A51A7C">
        <w:rPr>
          <w:rFonts w:cs="Times"/>
        </w:rPr>
        <w:t xml:space="preserve">Sm@CNT suspensions underwent different dilutions with </w:t>
      </w:r>
      <w:r w:rsidR="000B54A2" w:rsidRPr="00A51A7C">
        <w:rPr>
          <w:rFonts w:cs="Times"/>
        </w:rPr>
        <w:lastRenderedPageBreak/>
        <w:t xml:space="preserve">non-irradiated </w:t>
      </w:r>
      <w:r w:rsidR="000B54A2" w:rsidRPr="00A51A7C">
        <w:rPr>
          <w:rFonts w:cs="Times"/>
          <w:vertAlign w:val="superscript"/>
        </w:rPr>
        <w:t>152</w:t>
      </w:r>
      <w:r w:rsidR="000B54A2" w:rsidRPr="00A51A7C">
        <w:rPr>
          <w:rFonts w:cs="Times"/>
        </w:rPr>
        <w:t xml:space="preserve">Sm@CNT to contain the appropriate radioactivity for the </w:t>
      </w:r>
      <w:r w:rsidR="000B54A2" w:rsidRPr="00A51A7C">
        <w:rPr>
          <w:rFonts w:cs="Times"/>
          <w:i/>
        </w:rPr>
        <w:t>in vivo</w:t>
      </w:r>
      <w:r w:rsidR="000B54A2" w:rsidRPr="00A51A7C">
        <w:rPr>
          <w:rFonts w:cs="Times"/>
        </w:rPr>
        <w:t xml:space="preserve"> studies in 1% </w:t>
      </w:r>
      <w:proofErr w:type="spellStart"/>
      <w:r w:rsidR="000B54A2" w:rsidRPr="00A51A7C">
        <w:rPr>
          <w:rFonts w:cs="Times"/>
        </w:rPr>
        <w:t>Pluronic</w:t>
      </w:r>
      <w:proofErr w:type="spellEnd"/>
      <w:r w:rsidR="000B54A2" w:rsidRPr="00A51A7C">
        <w:rPr>
          <w:rFonts w:cs="Times"/>
        </w:rPr>
        <w:t xml:space="preserve">® F-127 saline. </w:t>
      </w:r>
      <w:r w:rsidR="000B54A2" w:rsidRPr="00A51A7C">
        <w:rPr>
          <w:rFonts w:cs="Times"/>
          <w:bCs/>
        </w:rPr>
        <w:t xml:space="preserve">As just discussed, stable nanocapsules sealing 70 % (SWNT) and 92 % (MWNT) of </w:t>
      </w:r>
      <w:r w:rsidR="000B54A2" w:rsidRPr="00A51A7C">
        <w:rPr>
          <w:rFonts w:cs="Times"/>
          <w:bCs/>
          <w:vertAlign w:val="superscript"/>
        </w:rPr>
        <w:t>153</w:t>
      </w:r>
      <w:r w:rsidR="000B54A2" w:rsidRPr="00A51A7C">
        <w:rPr>
          <w:rFonts w:cs="Times"/>
          <w:bCs/>
        </w:rPr>
        <w:t xml:space="preserve">Sm were obtained. The sonication step after neutron irradiation ensures no further leakage of </w:t>
      </w:r>
      <w:r w:rsidR="000B54A2" w:rsidRPr="00A51A7C">
        <w:rPr>
          <w:rFonts w:cs="Times"/>
          <w:bCs/>
          <w:vertAlign w:val="superscript"/>
        </w:rPr>
        <w:t>153</w:t>
      </w:r>
      <w:r w:rsidR="000B54A2" w:rsidRPr="00A51A7C">
        <w:rPr>
          <w:rFonts w:cs="Times"/>
          <w:bCs/>
        </w:rPr>
        <w:t>Sm from the nanocapsules</w:t>
      </w:r>
      <w:r w:rsidR="000B54A2" w:rsidRPr="00A51A7C">
        <w:rPr>
          <w:rFonts w:cs="Times"/>
          <w:bCs/>
          <w:i/>
        </w:rPr>
        <w:t xml:space="preserve"> in vivo</w:t>
      </w:r>
      <w:r w:rsidR="000B54A2" w:rsidRPr="00A51A7C">
        <w:rPr>
          <w:rFonts w:cs="Times"/>
          <w:bCs/>
        </w:rPr>
        <w:t xml:space="preserve">. The fraction of </w:t>
      </w:r>
      <w:r w:rsidR="000B54A2" w:rsidRPr="00A51A7C">
        <w:rPr>
          <w:rFonts w:cs="Times"/>
          <w:bCs/>
          <w:vertAlign w:val="superscript"/>
        </w:rPr>
        <w:t>153</w:t>
      </w:r>
      <w:r w:rsidR="000B54A2" w:rsidRPr="00A51A7C">
        <w:rPr>
          <w:rFonts w:cs="Times"/>
          <w:bCs/>
        </w:rPr>
        <w:t>Sm dissolved during the preparation of ‘hot’ nanocapsules was chelated with EDTA to ensure a fast renal clearance.</w:t>
      </w:r>
      <w:r w:rsidR="00667C01" w:rsidRPr="00A51A7C">
        <w:rPr>
          <w:rFonts w:cs="Times"/>
          <w:bCs/>
          <w:noProof/>
          <w:vertAlign w:val="superscript"/>
        </w:rPr>
        <w:t>72</w:t>
      </w:r>
      <w:r w:rsidR="000B54A2" w:rsidRPr="00A51A7C">
        <w:rPr>
          <w:rFonts w:cs="Times"/>
          <w:bCs/>
        </w:rPr>
        <w:t xml:space="preserve"> </w:t>
      </w:r>
      <w:proofErr w:type="gramStart"/>
      <w:r w:rsidR="000B54A2" w:rsidRPr="00A51A7C">
        <w:rPr>
          <w:rFonts w:cs="Times"/>
          <w:bCs/>
          <w:lang w:eastAsia="zh-CN"/>
        </w:rPr>
        <w:t>The</w:t>
      </w:r>
      <w:proofErr w:type="gramEnd"/>
      <w:r w:rsidR="000B54A2" w:rsidRPr="00A51A7C">
        <w:rPr>
          <w:rFonts w:cs="Times"/>
          <w:bCs/>
          <w:lang w:eastAsia="zh-CN"/>
        </w:rPr>
        <w:t xml:space="preserve"> </w:t>
      </w:r>
      <w:r w:rsidR="000B54A2" w:rsidRPr="00A51A7C">
        <w:rPr>
          <w:rFonts w:cs="Times"/>
          <w:bCs/>
        </w:rPr>
        <w:t xml:space="preserve">pharmacokinetics and </w:t>
      </w:r>
      <w:proofErr w:type="spellStart"/>
      <w:r w:rsidR="000B54A2" w:rsidRPr="00A51A7C">
        <w:rPr>
          <w:rFonts w:cs="Times"/>
          <w:bCs/>
        </w:rPr>
        <w:t>biodistribution</w:t>
      </w:r>
      <w:proofErr w:type="spellEnd"/>
      <w:r w:rsidR="000B54A2" w:rsidRPr="00A51A7C">
        <w:rPr>
          <w:rFonts w:cs="Times"/>
          <w:bCs/>
        </w:rPr>
        <w:t xml:space="preserve"> </w:t>
      </w:r>
      <w:r w:rsidR="000B54A2" w:rsidRPr="00A51A7C">
        <w:rPr>
          <w:rFonts w:cs="Times"/>
          <w:bCs/>
          <w:lang w:eastAsia="zh-CN"/>
        </w:rPr>
        <w:t xml:space="preserve">of </w:t>
      </w:r>
      <w:r w:rsidR="000B54A2" w:rsidRPr="00A51A7C">
        <w:rPr>
          <w:rFonts w:cs="Times"/>
          <w:bCs/>
          <w:vertAlign w:val="superscript"/>
        </w:rPr>
        <w:t>153</w:t>
      </w:r>
      <w:r w:rsidR="000B54A2" w:rsidRPr="00A51A7C">
        <w:rPr>
          <w:rFonts w:cs="Times"/>
          <w:bCs/>
        </w:rPr>
        <w:t xml:space="preserve">Sm@SWNT and </w:t>
      </w:r>
      <w:r w:rsidR="000B54A2" w:rsidRPr="00A51A7C">
        <w:rPr>
          <w:rFonts w:cs="Times"/>
          <w:bCs/>
          <w:vertAlign w:val="superscript"/>
        </w:rPr>
        <w:t>153</w:t>
      </w:r>
      <w:r w:rsidR="000B54A2" w:rsidRPr="00A51A7C">
        <w:rPr>
          <w:rFonts w:cs="Times"/>
          <w:bCs/>
        </w:rPr>
        <w:t xml:space="preserve">Sm@MWNT up to 24 h were next explored by whole body SPECT/CT imaging and quantitative γ-scintigraphy (Figure 2). </w:t>
      </w:r>
    </w:p>
    <w:p w:rsidR="000B54A2" w:rsidRPr="00A51A7C" w:rsidRDefault="000B54A2" w:rsidP="00D658CB">
      <w:pPr>
        <w:spacing w:after="0" w:line="480" w:lineRule="auto"/>
        <w:ind w:firstLine="204"/>
        <w:rPr>
          <w:rFonts w:cs="Times"/>
          <w:bCs/>
        </w:rPr>
      </w:pPr>
      <w:r w:rsidRPr="00A51A7C">
        <w:rPr>
          <w:rFonts w:cs="Times"/>
          <w:bCs/>
          <w:lang w:eastAsia="zh-CN"/>
        </w:rPr>
        <w:t xml:space="preserve">SPECT/CT imaging </w:t>
      </w:r>
      <w:r w:rsidRPr="00A51A7C">
        <w:rPr>
          <w:rFonts w:cs="Times"/>
          <w:bCs/>
        </w:rPr>
        <w:t>demonstrated that both</w:t>
      </w:r>
      <w:r w:rsidRPr="00A51A7C">
        <w:rPr>
          <w:rFonts w:cs="Times"/>
          <w:bCs/>
          <w:vertAlign w:val="superscript"/>
        </w:rPr>
        <w:t xml:space="preserve"> 153</w:t>
      </w:r>
      <w:r w:rsidRPr="00A51A7C">
        <w:rPr>
          <w:rFonts w:cs="Times"/>
          <w:bCs/>
        </w:rPr>
        <w:t xml:space="preserve">Sm@CNTs showed similar </w:t>
      </w:r>
      <w:proofErr w:type="spellStart"/>
      <w:r w:rsidRPr="00A51A7C">
        <w:rPr>
          <w:rFonts w:cs="Times"/>
          <w:bCs/>
        </w:rPr>
        <w:t>biodistribution</w:t>
      </w:r>
      <w:proofErr w:type="spellEnd"/>
      <w:r w:rsidRPr="00A51A7C">
        <w:rPr>
          <w:rFonts w:cs="Times"/>
          <w:bCs/>
        </w:rPr>
        <w:t xml:space="preserve"> patterns with accumulation mostly in spleen, lung and liver within 30 min (Figure 2a). The uptake in these organs was retained up to 24 h post injection (period of imaging). </w:t>
      </w:r>
      <w:r w:rsidR="00B97AAF" w:rsidRPr="00A51A7C">
        <w:rPr>
          <w:rFonts w:cs="Times"/>
          <w:bCs/>
        </w:rPr>
        <w:t>We have previously observed</w:t>
      </w:r>
      <w:r w:rsidR="00B97AAF" w:rsidRPr="00A51A7C">
        <w:rPr>
          <w:rFonts w:cs="Times"/>
          <w:bCs/>
          <w:i/>
        </w:rPr>
        <w:t xml:space="preserve"> in vivo</w:t>
      </w:r>
      <w:r w:rsidR="00B97AAF" w:rsidRPr="00A51A7C">
        <w:rPr>
          <w:rFonts w:cs="Times"/>
          <w:bCs/>
        </w:rPr>
        <w:t xml:space="preserve"> lung accumulation of filled CNTs</w:t>
      </w:r>
      <w:r w:rsidR="00E26378" w:rsidRPr="00A51A7C">
        <w:rPr>
          <w:rFonts w:cs="Times"/>
          <w:bCs/>
        </w:rPr>
        <w:t xml:space="preserve"> bearing targeting and non-targeting groups</w:t>
      </w:r>
      <w:r w:rsidR="00B97AAF" w:rsidRPr="00A51A7C">
        <w:rPr>
          <w:rFonts w:cs="Times"/>
          <w:bCs/>
        </w:rPr>
        <w:t>.</w:t>
      </w:r>
      <w:r w:rsidR="00667C01" w:rsidRPr="00A51A7C">
        <w:rPr>
          <w:rFonts w:cs="Times"/>
          <w:bCs/>
          <w:noProof/>
          <w:vertAlign w:val="superscript"/>
        </w:rPr>
        <w:t>25, 28</w:t>
      </w:r>
      <w:r w:rsidR="00B97AAF" w:rsidRPr="00A51A7C">
        <w:rPr>
          <w:rFonts w:cs="Times"/>
          <w:bCs/>
        </w:rPr>
        <w:t xml:space="preserve"> This behavior has been attributed to the physical properties </w:t>
      </w:r>
      <w:r w:rsidR="00E26378" w:rsidRPr="00A51A7C">
        <w:rPr>
          <w:rFonts w:cs="Times"/>
          <w:bCs/>
        </w:rPr>
        <w:t>of CNTs within physiology</w:t>
      </w:r>
      <w:r w:rsidR="00B97AAF" w:rsidRPr="00A51A7C">
        <w:rPr>
          <w:rFonts w:cs="Times"/>
          <w:bCs/>
        </w:rPr>
        <w:t>.</w:t>
      </w:r>
      <w:r w:rsidR="00667C01" w:rsidRPr="00A51A7C">
        <w:rPr>
          <w:rFonts w:cs="Times"/>
          <w:bCs/>
          <w:noProof/>
          <w:vertAlign w:val="superscript"/>
        </w:rPr>
        <w:t>28</w:t>
      </w:r>
      <w:r w:rsidR="00B97AAF" w:rsidRPr="00A51A7C">
        <w:rPr>
          <w:rFonts w:cs="Times"/>
          <w:bCs/>
        </w:rPr>
        <w:t xml:space="preserve"> </w:t>
      </w:r>
      <w:r w:rsidRPr="00A51A7C">
        <w:rPr>
          <w:rFonts w:cs="Times"/>
          <w:bCs/>
        </w:rPr>
        <w:t>As expected, high signals were detected from kidney and bladder within 30 min after injection, which were</w:t>
      </w:r>
      <w:r w:rsidRPr="00A51A7C">
        <w:rPr>
          <w:rFonts w:cs="Times"/>
        </w:rPr>
        <w:t xml:space="preserve"> attributed to the </w:t>
      </w:r>
      <w:r w:rsidRPr="00A51A7C">
        <w:rPr>
          <w:rFonts w:cs="Times"/>
          <w:bCs/>
          <w:vertAlign w:val="superscript"/>
        </w:rPr>
        <w:t>153</w:t>
      </w:r>
      <w:r w:rsidRPr="00A51A7C">
        <w:rPr>
          <w:rFonts w:cs="Times"/>
          <w:bCs/>
        </w:rPr>
        <w:t>Sm</w:t>
      </w:r>
      <w:proofErr w:type="gramStart"/>
      <w:r w:rsidRPr="00A51A7C">
        <w:rPr>
          <w:rFonts w:cs="Times"/>
          <w:bCs/>
        </w:rPr>
        <w:t>:EDTA</w:t>
      </w:r>
      <w:proofErr w:type="gramEnd"/>
      <w:r w:rsidRPr="00A51A7C">
        <w:rPr>
          <w:rFonts w:cs="Times"/>
          <w:bCs/>
        </w:rPr>
        <w:t xml:space="preserve"> chelate. From quantitative γ-scintigraphy measurements, a progressive clearance from the blood was observed for both </w:t>
      </w:r>
      <w:r w:rsidRPr="00A51A7C">
        <w:rPr>
          <w:rFonts w:cs="Times"/>
          <w:bCs/>
          <w:vertAlign w:val="superscript"/>
        </w:rPr>
        <w:t>153</w:t>
      </w:r>
      <w:r w:rsidRPr="00A51A7C">
        <w:rPr>
          <w:rFonts w:cs="Times"/>
          <w:bCs/>
        </w:rPr>
        <w:t xml:space="preserve">Sm@CNTs, </w:t>
      </w:r>
      <w:r w:rsidRPr="00A51A7C">
        <w:rPr>
          <w:rFonts w:cs="Times"/>
        </w:rPr>
        <w:t xml:space="preserve">in which most of the compounds were cleared out from circulation at 4 h post injection (Figure 2b). Figure 2c shows roughly 20% and 10% of injected dose (ID) were detected in urine in the case of </w:t>
      </w:r>
      <w:r w:rsidRPr="00A51A7C">
        <w:rPr>
          <w:rFonts w:cs="Times"/>
          <w:bCs/>
          <w:vertAlign w:val="superscript"/>
        </w:rPr>
        <w:t>153</w:t>
      </w:r>
      <w:r w:rsidRPr="00A51A7C">
        <w:rPr>
          <w:rFonts w:cs="Times"/>
          <w:bCs/>
        </w:rPr>
        <w:t xml:space="preserve">Sm@SWNT and </w:t>
      </w:r>
      <w:r w:rsidRPr="00A51A7C">
        <w:rPr>
          <w:rFonts w:cs="Times"/>
          <w:bCs/>
          <w:vertAlign w:val="superscript"/>
        </w:rPr>
        <w:t>153</w:t>
      </w:r>
      <w:r w:rsidRPr="00A51A7C">
        <w:rPr>
          <w:rFonts w:cs="Times"/>
          <w:bCs/>
        </w:rPr>
        <w:t xml:space="preserve">Sm@MWNT, respectively. The results correlated well with the </w:t>
      </w:r>
      <w:r w:rsidRPr="00A51A7C">
        <w:rPr>
          <w:rFonts w:cs="Times"/>
        </w:rPr>
        <w:t xml:space="preserve">ITLC findings where a higher amount of free </w:t>
      </w:r>
      <w:r w:rsidRPr="00A51A7C">
        <w:rPr>
          <w:rFonts w:cs="Times"/>
          <w:vertAlign w:val="superscript"/>
        </w:rPr>
        <w:t>153</w:t>
      </w:r>
      <w:r w:rsidRPr="00A51A7C">
        <w:rPr>
          <w:rFonts w:cs="Times"/>
        </w:rPr>
        <w:t>Sm was detected after neutron irradiation</w:t>
      </w:r>
      <w:r w:rsidRPr="00A51A7C">
        <w:rPr>
          <w:rFonts w:cs="Times"/>
          <w:bCs/>
        </w:rPr>
        <w:t xml:space="preserve"> in </w:t>
      </w:r>
      <w:r w:rsidRPr="00A51A7C">
        <w:rPr>
          <w:rFonts w:cs="Times"/>
          <w:bCs/>
          <w:vertAlign w:val="superscript"/>
        </w:rPr>
        <w:t>153</w:t>
      </w:r>
      <w:r w:rsidRPr="00A51A7C">
        <w:rPr>
          <w:rFonts w:cs="Times"/>
          <w:bCs/>
        </w:rPr>
        <w:t xml:space="preserve">Sm@SWNT than in </w:t>
      </w:r>
      <w:r w:rsidRPr="00A51A7C">
        <w:rPr>
          <w:rFonts w:cs="Times"/>
          <w:bCs/>
          <w:vertAlign w:val="superscript"/>
        </w:rPr>
        <w:t>153</w:t>
      </w:r>
      <w:r w:rsidRPr="00A51A7C">
        <w:rPr>
          <w:rFonts w:cs="Times"/>
          <w:bCs/>
        </w:rPr>
        <w:t>Sm@MWNT (Figure S</w:t>
      </w:r>
      <w:r w:rsidR="000332D1" w:rsidRPr="00A51A7C">
        <w:rPr>
          <w:rFonts w:cs="Times"/>
          <w:bCs/>
        </w:rPr>
        <w:t>4</w:t>
      </w:r>
      <w:r w:rsidRPr="00A51A7C">
        <w:rPr>
          <w:rFonts w:cs="Times"/>
          <w:bCs/>
        </w:rPr>
        <w:t xml:space="preserve">). Negligible radioactivity was detected in feces for both </w:t>
      </w:r>
      <w:r w:rsidRPr="00A51A7C">
        <w:rPr>
          <w:rFonts w:cs="Times"/>
          <w:bCs/>
          <w:vertAlign w:val="superscript"/>
        </w:rPr>
        <w:t>153</w:t>
      </w:r>
      <w:r w:rsidRPr="00A51A7C">
        <w:rPr>
          <w:rFonts w:cs="Times"/>
          <w:bCs/>
        </w:rPr>
        <w:t xml:space="preserve">Sm@CNTs (&lt; 0.5 %ID). </w:t>
      </w:r>
      <w:r w:rsidRPr="00A51A7C">
        <w:rPr>
          <w:rFonts w:cs="Times"/>
        </w:rPr>
        <w:t xml:space="preserve">The organ </w:t>
      </w:r>
      <w:proofErr w:type="spellStart"/>
      <w:r w:rsidRPr="00A51A7C">
        <w:rPr>
          <w:rFonts w:cs="Times"/>
        </w:rPr>
        <w:t>biodistribution</w:t>
      </w:r>
      <w:proofErr w:type="spellEnd"/>
      <w:r w:rsidRPr="00A51A7C">
        <w:rPr>
          <w:rFonts w:cs="Times"/>
        </w:rPr>
        <w:t xml:space="preserve"> profiles established at 4 and 24 h (Figure 2d) paralleled the SPECT/CT imaging results where </w:t>
      </w:r>
      <w:r w:rsidRPr="00A51A7C">
        <w:rPr>
          <w:rFonts w:cs="Times"/>
          <w:bCs/>
          <w:vertAlign w:val="superscript"/>
        </w:rPr>
        <w:t>153</w:t>
      </w:r>
      <w:r w:rsidRPr="00A51A7C">
        <w:rPr>
          <w:rFonts w:cs="Times"/>
          <w:bCs/>
        </w:rPr>
        <w:t xml:space="preserve">Sm@CNTs </w:t>
      </w:r>
      <w:r w:rsidRPr="00A51A7C">
        <w:rPr>
          <w:rFonts w:cs="Times"/>
        </w:rPr>
        <w:t xml:space="preserve">largely accumulated in spleen and showed high uptake in lung and liver. </w:t>
      </w:r>
      <w:r w:rsidRPr="00A51A7C">
        <w:rPr>
          <w:rFonts w:cs="Times"/>
          <w:bCs/>
        </w:rPr>
        <w:t xml:space="preserve">The accumulation in spleen and liver increased over time while the uptake </w:t>
      </w:r>
      <w:r w:rsidRPr="00A51A7C">
        <w:rPr>
          <w:rFonts w:cs="Times"/>
          <w:bCs/>
        </w:rPr>
        <w:lastRenderedPageBreak/>
        <w:t xml:space="preserve">in lung at 4 h and 24 h remained steady. </w:t>
      </w:r>
      <w:proofErr w:type="spellStart"/>
      <w:r w:rsidRPr="00A51A7C">
        <w:rPr>
          <w:rFonts w:cs="Times"/>
          <w:bCs/>
        </w:rPr>
        <w:t>Biodistribution</w:t>
      </w:r>
      <w:proofErr w:type="spellEnd"/>
      <w:r w:rsidRPr="00A51A7C">
        <w:rPr>
          <w:rFonts w:cs="Times"/>
          <w:bCs/>
        </w:rPr>
        <w:t xml:space="preserve"> analyses expressed as %ID per organ are presented in Figure S</w:t>
      </w:r>
      <w:r w:rsidR="000332D1" w:rsidRPr="00A51A7C">
        <w:rPr>
          <w:rFonts w:cs="Times"/>
          <w:bCs/>
        </w:rPr>
        <w:t>7</w:t>
      </w:r>
      <w:r w:rsidRPr="00A51A7C">
        <w:rPr>
          <w:rFonts w:cs="Times"/>
          <w:bCs/>
        </w:rPr>
        <w:t xml:space="preserve">.  </w:t>
      </w:r>
    </w:p>
    <w:p w:rsidR="000B54A2" w:rsidRPr="00A51A7C" w:rsidRDefault="00B2084B" w:rsidP="00D658CB">
      <w:pPr>
        <w:spacing w:after="0" w:line="480" w:lineRule="auto"/>
        <w:ind w:firstLine="204"/>
        <w:rPr>
          <w:rFonts w:cs="Times"/>
        </w:rPr>
      </w:pPr>
      <w:r w:rsidRPr="00A51A7C">
        <w:rPr>
          <w:rFonts w:cs="Times"/>
          <w:b/>
        </w:rPr>
        <w:t xml:space="preserve">Assessment of </w:t>
      </w:r>
      <w:proofErr w:type="spellStart"/>
      <w:r w:rsidRPr="00A51A7C">
        <w:rPr>
          <w:rFonts w:cs="Times"/>
          <w:b/>
        </w:rPr>
        <w:t>radiotherapeutic</w:t>
      </w:r>
      <w:proofErr w:type="spellEnd"/>
      <w:r w:rsidRPr="00A51A7C">
        <w:rPr>
          <w:rFonts w:cs="Times"/>
          <w:b/>
        </w:rPr>
        <w:t xml:space="preserve"> efficacy of </w:t>
      </w:r>
      <w:r w:rsidRPr="00A51A7C">
        <w:rPr>
          <w:rFonts w:cs="Times"/>
          <w:b/>
          <w:vertAlign w:val="superscript"/>
        </w:rPr>
        <w:t>153</w:t>
      </w:r>
      <w:r w:rsidRPr="00A51A7C">
        <w:rPr>
          <w:rFonts w:cs="Times"/>
          <w:b/>
          <w:bCs/>
        </w:rPr>
        <w:t>Sm@CNTs</w:t>
      </w:r>
      <w:r w:rsidRPr="00A51A7C">
        <w:rPr>
          <w:rFonts w:cs="Times"/>
          <w:b/>
        </w:rPr>
        <w:t xml:space="preserve"> in B16F10-Luc melanoma lung metastasis. </w:t>
      </w:r>
      <w:r w:rsidR="000B54A2" w:rsidRPr="00A51A7C">
        <w:rPr>
          <w:rFonts w:cs="Times"/>
        </w:rPr>
        <w:t xml:space="preserve">Taking advantage of the prominent lung accumulation property of CNTs, the </w:t>
      </w:r>
      <w:proofErr w:type="spellStart"/>
      <w:r w:rsidR="000B54A2" w:rsidRPr="00A51A7C">
        <w:rPr>
          <w:rFonts w:cs="Times"/>
        </w:rPr>
        <w:t>radiotherapeutic</w:t>
      </w:r>
      <w:proofErr w:type="spellEnd"/>
      <w:r w:rsidR="000B54A2" w:rsidRPr="00A51A7C">
        <w:rPr>
          <w:rFonts w:cs="Times"/>
        </w:rPr>
        <w:t xml:space="preserve"> efficacy of </w:t>
      </w:r>
      <w:r w:rsidR="000B54A2" w:rsidRPr="00A51A7C">
        <w:rPr>
          <w:rFonts w:cs="Times"/>
          <w:vertAlign w:val="superscript"/>
        </w:rPr>
        <w:t>153</w:t>
      </w:r>
      <w:r w:rsidR="000B54A2" w:rsidRPr="00A51A7C">
        <w:rPr>
          <w:rFonts w:cs="Times"/>
        </w:rPr>
        <w:t xml:space="preserve">Sm@SWNT and </w:t>
      </w:r>
      <w:r w:rsidR="000B54A2" w:rsidRPr="00A51A7C">
        <w:rPr>
          <w:rFonts w:cs="Times"/>
          <w:vertAlign w:val="superscript"/>
        </w:rPr>
        <w:t>153</w:t>
      </w:r>
      <w:r w:rsidR="000B54A2" w:rsidRPr="00A51A7C">
        <w:rPr>
          <w:rFonts w:cs="Times"/>
        </w:rPr>
        <w:t>Sm@MWNT was investigated using an experimental B16F10-Luc melanoma lung metastatic tumor model. This syngeneic tumor model is characterized as highly aggressive and metastatic, and has been commonly used for evaluation of cancer regimens.</w:t>
      </w:r>
      <w:r w:rsidR="00667C01" w:rsidRPr="00A51A7C">
        <w:rPr>
          <w:rFonts w:cs="Times"/>
          <w:noProof/>
          <w:vertAlign w:val="superscript"/>
        </w:rPr>
        <w:t>73, 74</w:t>
      </w:r>
      <w:r w:rsidR="000B54A2" w:rsidRPr="00A51A7C">
        <w:rPr>
          <w:rFonts w:cs="Times"/>
        </w:rPr>
        <w:t xml:space="preserve"> </w:t>
      </w:r>
      <w:proofErr w:type="gramStart"/>
      <w:r w:rsidR="000B54A2" w:rsidRPr="00A51A7C">
        <w:rPr>
          <w:rFonts w:cs="Times"/>
        </w:rPr>
        <w:t>The</w:t>
      </w:r>
      <w:proofErr w:type="gramEnd"/>
      <w:r w:rsidR="000B54A2" w:rsidRPr="00A51A7C">
        <w:rPr>
          <w:rFonts w:cs="Times"/>
        </w:rPr>
        <w:t xml:space="preserve"> luciferase-expressing feature of this cell line enabled tumor growth monitoring by whole body bioluminescence imaging. </w:t>
      </w:r>
    </w:p>
    <w:p w:rsidR="000B54A2" w:rsidRPr="00A51A7C" w:rsidRDefault="000B54A2" w:rsidP="00D658CB">
      <w:pPr>
        <w:spacing w:after="0" w:line="480" w:lineRule="auto"/>
        <w:ind w:firstLine="204"/>
        <w:rPr>
          <w:rFonts w:cs="Times"/>
          <w:iCs/>
        </w:rPr>
      </w:pPr>
      <w:r w:rsidRPr="00A51A7C">
        <w:rPr>
          <w:rFonts w:cs="Times"/>
        </w:rPr>
        <w:t xml:space="preserve">The results demonstrate that single intravenous administration of 20 </w:t>
      </w:r>
      <w:proofErr w:type="spellStart"/>
      <w:r w:rsidRPr="00A51A7C">
        <w:rPr>
          <w:rFonts w:cs="Times"/>
        </w:rPr>
        <w:t>MBq</w:t>
      </w:r>
      <w:proofErr w:type="spellEnd"/>
      <w:r w:rsidRPr="00A51A7C">
        <w:rPr>
          <w:rFonts w:cs="Times"/>
        </w:rPr>
        <w:t xml:space="preserve"> of </w:t>
      </w:r>
      <w:r w:rsidRPr="00A51A7C">
        <w:rPr>
          <w:rFonts w:cs="Times"/>
          <w:vertAlign w:val="superscript"/>
        </w:rPr>
        <w:t>153</w:t>
      </w:r>
      <w:r w:rsidRPr="00A51A7C">
        <w:rPr>
          <w:rFonts w:cs="Times"/>
        </w:rPr>
        <w:t xml:space="preserve">Sm@SWNT or </w:t>
      </w:r>
      <w:r w:rsidRPr="00A51A7C">
        <w:rPr>
          <w:rFonts w:cs="Times"/>
          <w:vertAlign w:val="superscript"/>
        </w:rPr>
        <w:t>153</w:t>
      </w:r>
      <w:r w:rsidRPr="00A51A7C">
        <w:rPr>
          <w:rFonts w:cs="Times"/>
        </w:rPr>
        <w:t xml:space="preserve">Sm@MWNT (200 µg of CNTs per mouse) significantly delayed the tumor growth in lung (Figure 3). Representative bioluminescence images of untreated, </w:t>
      </w:r>
      <w:r w:rsidRPr="00A51A7C">
        <w:rPr>
          <w:rFonts w:cs="Times"/>
          <w:vertAlign w:val="superscript"/>
        </w:rPr>
        <w:t>153</w:t>
      </w:r>
      <w:r w:rsidRPr="00A51A7C">
        <w:rPr>
          <w:rFonts w:cs="Times"/>
        </w:rPr>
        <w:t xml:space="preserve">Sm@SWNT and </w:t>
      </w:r>
      <w:r w:rsidRPr="00A51A7C">
        <w:rPr>
          <w:rFonts w:cs="Times"/>
          <w:vertAlign w:val="superscript"/>
        </w:rPr>
        <w:t>153</w:t>
      </w:r>
      <w:r w:rsidRPr="00A51A7C">
        <w:rPr>
          <w:rFonts w:cs="Times"/>
        </w:rPr>
        <w:t>Sm@MWNT treated mice on day 10 and day 16 post-tumor inoculation are shown in Figure 3a and images of all mice are shown in Figure S</w:t>
      </w:r>
      <w:r w:rsidR="000332D1" w:rsidRPr="00A51A7C">
        <w:rPr>
          <w:rFonts w:cs="Times"/>
        </w:rPr>
        <w:t>8</w:t>
      </w:r>
      <w:r w:rsidRPr="00A51A7C">
        <w:rPr>
          <w:rFonts w:cs="Times"/>
        </w:rPr>
        <w:t xml:space="preserve">. </w:t>
      </w:r>
      <w:r w:rsidRPr="00A51A7C">
        <w:rPr>
          <w:rFonts w:cs="Times"/>
          <w:iCs/>
        </w:rPr>
        <w:t xml:space="preserve">From the lung tissues examined at post-mortem (Figure 3b), distinct differences were visualized between the treatment groups. Metastatic melanoma nodules occupied most of the lung tissue from the untreated mice, while lesser number of melanoma nodules were observed in </w:t>
      </w:r>
      <w:r w:rsidRPr="00A51A7C">
        <w:rPr>
          <w:rFonts w:cs="Times"/>
          <w:iCs/>
          <w:vertAlign w:val="superscript"/>
        </w:rPr>
        <w:t>153</w:t>
      </w:r>
      <w:r w:rsidRPr="00A51A7C">
        <w:rPr>
          <w:rFonts w:cs="Times"/>
          <w:iCs/>
        </w:rPr>
        <w:t xml:space="preserve">Sm@CNT treated mice. The number of tumor nodules also reflected the lung weights in which lung tissues from untreated mice weighed significantly heavier than </w:t>
      </w:r>
      <w:r w:rsidRPr="00A51A7C">
        <w:rPr>
          <w:rFonts w:cs="Times"/>
          <w:iCs/>
          <w:vertAlign w:val="superscript"/>
        </w:rPr>
        <w:t>153</w:t>
      </w:r>
      <w:r w:rsidRPr="00A51A7C">
        <w:rPr>
          <w:rFonts w:cs="Times"/>
          <w:iCs/>
        </w:rPr>
        <w:t>Sm@CNT treated mice (</w:t>
      </w:r>
      <w:r w:rsidRPr="00A51A7C">
        <w:rPr>
          <w:rFonts w:eastAsia="+mn-ea" w:cs="Times"/>
          <w:iCs/>
          <w:kern w:val="24"/>
        </w:rPr>
        <w:t>***</w:t>
      </w:r>
      <w:r w:rsidRPr="00A51A7C">
        <w:rPr>
          <w:rFonts w:eastAsia="+mn-ea" w:cs="Times"/>
          <w:i/>
          <w:iCs/>
          <w:kern w:val="24"/>
        </w:rPr>
        <w:t>p</w:t>
      </w:r>
      <w:r w:rsidRPr="00A51A7C">
        <w:rPr>
          <w:rFonts w:eastAsia="+mn-ea" w:cs="Times"/>
          <w:iCs/>
          <w:kern w:val="24"/>
        </w:rPr>
        <w:t>&lt;0.001</w:t>
      </w:r>
      <w:r w:rsidRPr="00A51A7C">
        <w:rPr>
          <w:rFonts w:cs="Times"/>
          <w:iCs/>
        </w:rPr>
        <w:t xml:space="preserve">). </w:t>
      </w:r>
    </w:p>
    <w:p w:rsidR="000B54A2" w:rsidRPr="00A51A7C" w:rsidRDefault="000B54A2" w:rsidP="00D658CB">
      <w:pPr>
        <w:spacing w:after="0" w:line="480" w:lineRule="auto"/>
        <w:ind w:firstLine="204"/>
        <w:rPr>
          <w:rFonts w:cs="Times"/>
        </w:rPr>
      </w:pPr>
      <w:r w:rsidRPr="00A51A7C">
        <w:rPr>
          <w:rFonts w:cs="Times"/>
        </w:rPr>
        <w:t xml:space="preserve">Figure 3c displays the average tumor size (photons/sec) of untreated mice and mice treated with </w:t>
      </w:r>
      <w:r w:rsidRPr="00A51A7C">
        <w:rPr>
          <w:rFonts w:cs="Times"/>
          <w:vertAlign w:val="superscript"/>
        </w:rPr>
        <w:t>153</w:t>
      </w:r>
      <w:r w:rsidRPr="00A51A7C">
        <w:rPr>
          <w:rFonts w:cs="Times"/>
        </w:rPr>
        <w:t xml:space="preserve">Sm@SWNT or </w:t>
      </w:r>
      <w:r w:rsidRPr="00A51A7C">
        <w:rPr>
          <w:rFonts w:cs="Times"/>
          <w:vertAlign w:val="superscript"/>
        </w:rPr>
        <w:t>153</w:t>
      </w:r>
      <w:r w:rsidRPr="00A51A7C">
        <w:rPr>
          <w:rFonts w:cs="Times"/>
        </w:rPr>
        <w:t xml:space="preserve">Sm@MWNT over the therapy time course. Treatment responses started to appear on day 13 for both </w:t>
      </w:r>
      <w:r w:rsidRPr="00A51A7C">
        <w:rPr>
          <w:rFonts w:cs="Times"/>
          <w:vertAlign w:val="superscript"/>
        </w:rPr>
        <w:t>153</w:t>
      </w:r>
      <w:r w:rsidRPr="00A51A7C">
        <w:rPr>
          <w:rFonts w:cs="Times"/>
        </w:rPr>
        <w:t>Sm@CNTs showing significant tumor reduction compared to the untreated group (*</w:t>
      </w:r>
      <w:r w:rsidRPr="00A51A7C">
        <w:rPr>
          <w:rFonts w:cs="Times"/>
          <w:i/>
        </w:rPr>
        <w:t>p</w:t>
      </w:r>
      <w:r w:rsidRPr="00A51A7C">
        <w:rPr>
          <w:rFonts w:cs="Times"/>
        </w:rPr>
        <w:t xml:space="preserve"> &lt; 0.05). Although similar amount of radioactivity was administered and both </w:t>
      </w:r>
      <w:r w:rsidRPr="00A51A7C">
        <w:rPr>
          <w:rFonts w:cs="Times"/>
          <w:vertAlign w:val="superscript"/>
        </w:rPr>
        <w:lastRenderedPageBreak/>
        <w:t>153</w:t>
      </w:r>
      <w:r w:rsidRPr="00A51A7C">
        <w:rPr>
          <w:rFonts w:cs="Times"/>
        </w:rPr>
        <w:t xml:space="preserve">Sm@CNTs showed comparable % ID in lung, </w:t>
      </w:r>
      <w:r w:rsidRPr="00A51A7C">
        <w:rPr>
          <w:rFonts w:cs="Times"/>
          <w:iCs/>
        </w:rPr>
        <w:t xml:space="preserve">notably smaller tumors were measured in mice treated with </w:t>
      </w:r>
      <w:r w:rsidRPr="00A51A7C">
        <w:rPr>
          <w:rFonts w:cs="Times"/>
          <w:vertAlign w:val="superscript"/>
        </w:rPr>
        <w:t>153</w:t>
      </w:r>
      <w:r w:rsidRPr="00A51A7C">
        <w:rPr>
          <w:rFonts w:cs="Times"/>
        </w:rPr>
        <w:t xml:space="preserve">Sm@SWNT compared to </w:t>
      </w:r>
      <w:r w:rsidRPr="00A51A7C">
        <w:rPr>
          <w:rFonts w:cs="Times"/>
          <w:vertAlign w:val="superscript"/>
        </w:rPr>
        <w:t>153</w:t>
      </w:r>
      <w:r w:rsidRPr="00A51A7C">
        <w:rPr>
          <w:rFonts w:cs="Times"/>
        </w:rPr>
        <w:t xml:space="preserve">Sm@MWNT </w:t>
      </w:r>
      <w:r w:rsidRPr="00A51A7C">
        <w:rPr>
          <w:rFonts w:cs="Times"/>
          <w:iCs/>
        </w:rPr>
        <w:t>on day 16 (</w:t>
      </w:r>
      <w:r w:rsidRPr="00A51A7C">
        <w:rPr>
          <w:rFonts w:cs="Times"/>
        </w:rPr>
        <w:t>*</w:t>
      </w:r>
      <w:r w:rsidRPr="00A51A7C">
        <w:rPr>
          <w:rFonts w:cs="Times"/>
          <w:i/>
          <w:iCs/>
        </w:rPr>
        <w:t xml:space="preserve">p </w:t>
      </w:r>
      <w:r w:rsidRPr="00A51A7C">
        <w:rPr>
          <w:rFonts w:cs="Times"/>
          <w:iCs/>
        </w:rPr>
        <w:t xml:space="preserve">&lt; 0.05). Nevertheless, both </w:t>
      </w:r>
      <w:r w:rsidRPr="00A51A7C">
        <w:rPr>
          <w:rFonts w:cs="Times"/>
          <w:iCs/>
          <w:vertAlign w:val="superscript"/>
        </w:rPr>
        <w:t>153</w:t>
      </w:r>
      <w:r w:rsidRPr="00A51A7C">
        <w:rPr>
          <w:rFonts w:cs="Times"/>
        </w:rPr>
        <w:t>Sm@CNT treatments demonstrated substantial tumor growth suppression on day 16 (</w:t>
      </w:r>
      <w:r w:rsidRPr="00A51A7C">
        <w:rPr>
          <w:rFonts w:cs="Times"/>
          <w:iCs/>
        </w:rPr>
        <w:t>***</w:t>
      </w:r>
      <w:r w:rsidRPr="00A51A7C">
        <w:rPr>
          <w:rFonts w:cs="Times"/>
          <w:i/>
          <w:iCs/>
        </w:rPr>
        <w:t xml:space="preserve">p </w:t>
      </w:r>
      <w:r w:rsidRPr="00A51A7C">
        <w:rPr>
          <w:rFonts w:cs="Times"/>
          <w:iCs/>
        </w:rPr>
        <w:t>&lt; 0.001, compared to control) where the therapy study terminated.</w:t>
      </w:r>
      <w:r w:rsidRPr="00A51A7C">
        <w:rPr>
          <w:rFonts w:cs="Times"/>
        </w:rPr>
        <w:t xml:space="preserve"> </w:t>
      </w:r>
      <w:r w:rsidRPr="00A51A7C">
        <w:rPr>
          <w:rFonts w:cs="Times"/>
          <w:iCs/>
        </w:rPr>
        <w:t xml:space="preserve"> </w:t>
      </w:r>
      <w:r w:rsidRPr="00A51A7C">
        <w:rPr>
          <w:rFonts w:cs="Times"/>
        </w:rPr>
        <w:t xml:space="preserve">The reasons behind this more prolonged therapeutic effect of </w:t>
      </w:r>
      <w:r w:rsidRPr="00A51A7C">
        <w:rPr>
          <w:rFonts w:cs="Times"/>
          <w:vertAlign w:val="superscript"/>
        </w:rPr>
        <w:t>153</w:t>
      </w:r>
      <w:r w:rsidRPr="00A51A7C">
        <w:rPr>
          <w:rFonts w:cs="Times"/>
        </w:rPr>
        <w:t xml:space="preserve">Sm@SWNT are not clear, but there might be differences between the two </w:t>
      </w:r>
      <w:r w:rsidRPr="00A51A7C">
        <w:rPr>
          <w:rFonts w:cs="Times"/>
          <w:vertAlign w:val="superscript"/>
        </w:rPr>
        <w:t>153</w:t>
      </w:r>
      <w:r w:rsidRPr="00A51A7C">
        <w:rPr>
          <w:rFonts w:cs="Times"/>
        </w:rPr>
        <w:t xml:space="preserve">Sm@CNTs in terms of the interaction with lung tissues/tumor cells which led to the differential therapeutic outcomes.  </w:t>
      </w:r>
    </w:p>
    <w:p w:rsidR="000B54A2" w:rsidRPr="00A51A7C" w:rsidRDefault="000B54A2" w:rsidP="00D658CB">
      <w:pPr>
        <w:spacing w:after="0" w:line="480" w:lineRule="auto"/>
        <w:ind w:firstLine="204"/>
        <w:rPr>
          <w:rFonts w:cs="Times"/>
          <w:i/>
          <w:iCs/>
        </w:rPr>
      </w:pPr>
      <w:r w:rsidRPr="00A51A7C">
        <w:rPr>
          <w:rFonts w:cs="Times"/>
          <w:iCs/>
        </w:rPr>
        <w:t xml:space="preserve">Histological analysis was carried out on H&amp;E (hematoxylin and eosin stain) and Neutral Red stained lung tissue sections at post-mortem at the end of therapy study on day 16. The lung sections from untreated mice showed an invasion of cancerous mass leading to the disappearance of healthy lung tissues and a clear reduction of alveoli number (Figure 3d, top panels). In contrast, in </w:t>
      </w:r>
      <w:r w:rsidRPr="00A51A7C">
        <w:rPr>
          <w:rFonts w:cs="Times"/>
          <w:iCs/>
          <w:vertAlign w:val="superscript"/>
        </w:rPr>
        <w:t>153</w:t>
      </w:r>
      <w:r w:rsidRPr="00A51A7C">
        <w:rPr>
          <w:rFonts w:cs="Times"/>
          <w:iCs/>
        </w:rPr>
        <w:t xml:space="preserve">Sm@CNT treated mice (Figure 3d, middle and bottom panels), lung sections appeared healthier with the presence of fewer colonies of melanoma nodules. Zoom-in images of healthy and cancerous areas from each treatment groups are shown on the right panels with arrows indicating some trapped </w:t>
      </w:r>
      <w:r w:rsidRPr="00A51A7C">
        <w:rPr>
          <w:rFonts w:cs="Times"/>
          <w:iCs/>
          <w:vertAlign w:val="superscript"/>
        </w:rPr>
        <w:t>153</w:t>
      </w:r>
      <w:r w:rsidRPr="00A51A7C">
        <w:rPr>
          <w:rFonts w:cs="Times"/>
          <w:iCs/>
        </w:rPr>
        <w:t>Sm@CNTs.</w:t>
      </w:r>
      <w:r w:rsidRPr="00A51A7C">
        <w:rPr>
          <w:rFonts w:cs="Times"/>
        </w:rPr>
        <w:t xml:space="preserve"> CNTs were difficult to identify in cancerous regions due to the dark appearance of melanoma. Together with the bioluminescence images, it indicated that </w:t>
      </w:r>
      <w:r w:rsidRPr="00A51A7C">
        <w:rPr>
          <w:rFonts w:cs="Times"/>
          <w:iCs/>
          <w:vertAlign w:val="superscript"/>
        </w:rPr>
        <w:t>153</w:t>
      </w:r>
      <w:r w:rsidRPr="00A51A7C">
        <w:rPr>
          <w:rFonts w:cs="Times"/>
          <w:iCs/>
        </w:rPr>
        <w:t>Sm@CNT therapies did not fully eradicate tumors but prevented their proliferation.</w:t>
      </w:r>
    </w:p>
    <w:p w:rsidR="000B54A2" w:rsidRPr="00A51A7C" w:rsidRDefault="00B2084B" w:rsidP="00D658CB">
      <w:pPr>
        <w:spacing w:after="0" w:line="480" w:lineRule="auto"/>
        <w:ind w:firstLine="204"/>
        <w:rPr>
          <w:rFonts w:cs="Times"/>
        </w:rPr>
      </w:pPr>
      <w:r w:rsidRPr="00A51A7C">
        <w:rPr>
          <w:rFonts w:cs="Times"/>
          <w:b/>
        </w:rPr>
        <w:t xml:space="preserve">Toxicity assessments post </w:t>
      </w:r>
      <w:r w:rsidRPr="00A51A7C">
        <w:rPr>
          <w:rFonts w:cs="Times"/>
          <w:b/>
          <w:iCs/>
          <w:vertAlign w:val="superscript"/>
        </w:rPr>
        <w:t>153</w:t>
      </w:r>
      <w:r w:rsidRPr="00A51A7C">
        <w:rPr>
          <w:rFonts w:cs="Times"/>
          <w:b/>
          <w:iCs/>
        </w:rPr>
        <w:t>Sm@CNT injection and</w:t>
      </w:r>
      <w:r w:rsidRPr="00A51A7C">
        <w:rPr>
          <w:rFonts w:cs="Times"/>
          <w:b/>
        </w:rPr>
        <w:t xml:space="preserve"> after</w:t>
      </w:r>
      <w:r w:rsidRPr="00A51A7C">
        <w:rPr>
          <w:rFonts w:cs="Times"/>
          <w:b/>
          <w:iCs/>
        </w:rPr>
        <w:t xml:space="preserve"> </w:t>
      </w:r>
      <w:r w:rsidRPr="00A51A7C">
        <w:rPr>
          <w:rFonts w:cs="Times"/>
          <w:b/>
        </w:rPr>
        <w:t xml:space="preserve">radiotherapy. </w:t>
      </w:r>
      <w:r w:rsidR="000B54A2" w:rsidRPr="00A51A7C">
        <w:rPr>
          <w:rFonts w:cs="Times"/>
          <w:iCs/>
        </w:rPr>
        <w:t xml:space="preserve">During the radiotherapy period, variable whole body weight changes were observed within groups (Figure 4a). Body weight loss seemed to occur for the </w:t>
      </w:r>
      <w:r w:rsidR="000B54A2" w:rsidRPr="00A51A7C">
        <w:rPr>
          <w:rFonts w:cs="Times"/>
          <w:iCs/>
          <w:vertAlign w:val="superscript"/>
        </w:rPr>
        <w:t>153</w:t>
      </w:r>
      <w:r w:rsidR="000B54A2" w:rsidRPr="00A51A7C">
        <w:rPr>
          <w:rFonts w:cs="Times"/>
          <w:iCs/>
        </w:rPr>
        <w:t xml:space="preserve">Sm@CNT treated mice starting from day 10 post-tumor inoculations but there is no significant difference between the groups including the untreated mice. The weights of major organs were measured at sacrifice. Marginal changes were found between most of the untreated and </w:t>
      </w:r>
      <w:r w:rsidR="000B54A2" w:rsidRPr="00A51A7C">
        <w:rPr>
          <w:rFonts w:cs="Times"/>
          <w:iCs/>
          <w:vertAlign w:val="superscript"/>
        </w:rPr>
        <w:t>153</w:t>
      </w:r>
      <w:r w:rsidR="000B54A2" w:rsidRPr="00A51A7C">
        <w:rPr>
          <w:rFonts w:cs="Times"/>
          <w:iCs/>
        </w:rPr>
        <w:t xml:space="preserve">Sm@CNT treated organs, except for lungs (with tumors, </w:t>
      </w:r>
      <w:r w:rsidR="000B54A2" w:rsidRPr="00A51A7C">
        <w:rPr>
          <w:rFonts w:cs="Times"/>
          <w:iCs/>
        </w:rPr>
        <w:lastRenderedPageBreak/>
        <w:t>***</w:t>
      </w:r>
      <w:r w:rsidR="000B54A2" w:rsidRPr="00A51A7C">
        <w:rPr>
          <w:rFonts w:cs="Times"/>
          <w:i/>
          <w:iCs/>
        </w:rPr>
        <w:t xml:space="preserve">p </w:t>
      </w:r>
      <w:r w:rsidR="000B54A2" w:rsidRPr="00A51A7C">
        <w:rPr>
          <w:rFonts w:cs="Times"/>
          <w:iCs/>
        </w:rPr>
        <w:t>&lt; 0.001) and spleen (***</w:t>
      </w:r>
      <w:r w:rsidR="000B54A2" w:rsidRPr="00A51A7C">
        <w:rPr>
          <w:rFonts w:cs="Times"/>
          <w:i/>
          <w:iCs/>
        </w:rPr>
        <w:t xml:space="preserve">p </w:t>
      </w:r>
      <w:r w:rsidR="000B54A2" w:rsidRPr="00A51A7C">
        <w:rPr>
          <w:rFonts w:cs="Times"/>
          <w:iCs/>
        </w:rPr>
        <w:t>&lt; 0.01 or ***</w:t>
      </w:r>
      <w:r w:rsidR="000B54A2" w:rsidRPr="00A51A7C">
        <w:rPr>
          <w:rFonts w:cs="Times"/>
          <w:i/>
          <w:iCs/>
        </w:rPr>
        <w:t xml:space="preserve">p </w:t>
      </w:r>
      <w:r w:rsidR="000B54A2" w:rsidRPr="00A51A7C">
        <w:rPr>
          <w:rFonts w:cs="Times"/>
          <w:iCs/>
        </w:rPr>
        <w:t xml:space="preserve">&lt; 0.001) (Figure 4b). As previously evidenced in Figure 3b, the aggressively growing tumors increased the weight of lung significantly for the untreated mice. </w:t>
      </w:r>
      <w:r w:rsidR="005B03F3" w:rsidRPr="00A51A7C">
        <w:rPr>
          <w:rFonts w:cs="Times"/>
          <w:iCs/>
        </w:rPr>
        <w:t xml:space="preserve">We have previously demonstrated that cold metal-filled CNTs were biocompatible </w:t>
      </w:r>
      <w:r w:rsidR="005B03F3" w:rsidRPr="00A51A7C">
        <w:rPr>
          <w:rFonts w:cs="Times"/>
          <w:i/>
          <w:iCs/>
        </w:rPr>
        <w:t>in vivo</w:t>
      </w:r>
      <w:r w:rsidR="005B03F3" w:rsidRPr="00A51A7C">
        <w:rPr>
          <w:rFonts w:cs="Times"/>
          <w:iCs/>
        </w:rPr>
        <w:t>.</w:t>
      </w:r>
      <w:r w:rsidR="00667C01" w:rsidRPr="00A51A7C">
        <w:rPr>
          <w:rFonts w:cs="Times"/>
          <w:iCs/>
          <w:noProof/>
          <w:vertAlign w:val="superscript"/>
        </w:rPr>
        <w:t>75</w:t>
      </w:r>
      <w:r w:rsidR="000B54A2" w:rsidRPr="00A51A7C">
        <w:rPr>
          <w:rFonts w:cs="Times"/>
        </w:rPr>
        <w:t xml:space="preserve"> </w:t>
      </w:r>
      <w:proofErr w:type="gramStart"/>
      <w:r w:rsidR="000B54A2" w:rsidRPr="00A51A7C">
        <w:rPr>
          <w:rFonts w:cs="Times"/>
        </w:rPr>
        <w:t>The</w:t>
      </w:r>
      <w:proofErr w:type="gramEnd"/>
      <w:r w:rsidR="000B54A2" w:rsidRPr="00A51A7C">
        <w:rPr>
          <w:rFonts w:cs="Times"/>
        </w:rPr>
        <w:t xml:space="preserve"> significant weight loss in lungs from mice treated with </w:t>
      </w:r>
      <w:r w:rsidR="000B54A2" w:rsidRPr="00A51A7C">
        <w:rPr>
          <w:rFonts w:cs="Times"/>
          <w:vertAlign w:val="superscript"/>
        </w:rPr>
        <w:t>153</w:t>
      </w:r>
      <w:r w:rsidR="000B54A2" w:rsidRPr="00A51A7C">
        <w:rPr>
          <w:rFonts w:cs="Times"/>
        </w:rPr>
        <w:t>Sm@CNTs compared to untreated mice is likely a result of reduction of tumor nodules. Histological assessment performed on mice treated with low dose radioactivity (</w:t>
      </w:r>
      <w:r w:rsidR="000B54A2" w:rsidRPr="00A51A7C">
        <w:rPr>
          <w:rFonts w:cs="Times"/>
          <w:bCs/>
        </w:rPr>
        <w:t>200 µg</w:t>
      </w:r>
      <w:r w:rsidR="000B54A2" w:rsidRPr="00A51A7C">
        <w:rPr>
          <w:rFonts w:cs="Times"/>
          <w:bCs/>
          <w:vertAlign w:val="superscript"/>
        </w:rPr>
        <w:t xml:space="preserve"> 153</w:t>
      </w:r>
      <w:r w:rsidR="000B54A2" w:rsidRPr="00A51A7C">
        <w:rPr>
          <w:rFonts w:cs="Times"/>
          <w:bCs/>
        </w:rPr>
        <w:t>Sm@CNTs/mouse</w:t>
      </w:r>
      <w:r w:rsidR="000B54A2" w:rsidRPr="00A51A7C">
        <w:rPr>
          <w:rFonts w:cs="Times"/>
        </w:rPr>
        <w:t xml:space="preserve">, 1 </w:t>
      </w:r>
      <w:proofErr w:type="spellStart"/>
      <w:r w:rsidR="000B54A2" w:rsidRPr="00A51A7C">
        <w:rPr>
          <w:rFonts w:cs="Times"/>
        </w:rPr>
        <w:t>MBq</w:t>
      </w:r>
      <w:proofErr w:type="spellEnd"/>
      <w:r w:rsidR="000B54A2" w:rsidRPr="00A51A7C">
        <w:rPr>
          <w:rFonts w:cs="Times"/>
        </w:rPr>
        <w:t xml:space="preserve">) showed </w:t>
      </w:r>
      <w:r w:rsidR="000B54A2" w:rsidRPr="00A51A7C">
        <w:rPr>
          <w:rFonts w:cs="Times"/>
          <w:bCs/>
        </w:rPr>
        <w:t>no significant histological abnormalities in the selected major organs (heart, lung, kidneys, liver, and spleen) sampled at 24 h post injection (Figure S</w:t>
      </w:r>
      <w:r w:rsidR="000332D1" w:rsidRPr="00A51A7C">
        <w:rPr>
          <w:rFonts w:cs="Times"/>
          <w:bCs/>
        </w:rPr>
        <w:t>9</w:t>
      </w:r>
      <w:r w:rsidR="000B54A2" w:rsidRPr="00A51A7C">
        <w:rPr>
          <w:rFonts w:cs="Times"/>
          <w:bCs/>
        </w:rPr>
        <w:t xml:space="preserve">). This further confirms that the reduced lung weights were due to the radiotherapy effect and not from the CNTs </w:t>
      </w:r>
      <w:r w:rsidR="000B54A2" w:rsidRPr="00A51A7C">
        <w:rPr>
          <w:rFonts w:cs="Times"/>
          <w:bCs/>
          <w:i/>
        </w:rPr>
        <w:t>per se</w:t>
      </w:r>
      <w:r w:rsidR="000B54A2" w:rsidRPr="00A51A7C">
        <w:rPr>
          <w:rFonts w:cs="Times"/>
          <w:bCs/>
        </w:rPr>
        <w:t xml:space="preserve">. </w:t>
      </w:r>
    </w:p>
    <w:p w:rsidR="000B54A2" w:rsidRPr="00A51A7C" w:rsidRDefault="000B54A2" w:rsidP="00D658CB">
      <w:pPr>
        <w:spacing w:after="0" w:line="480" w:lineRule="auto"/>
        <w:ind w:firstLine="204"/>
        <w:rPr>
          <w:rFonts w:cs="Times"/>
          <w:iCs/>
        </w:rPr>
      </w:pPr>
      <w:r w:rsidRPr="00A51A7C">
        <w:rPr>
          <w:rFonts w:cs="Times"/>
          <w:iCs/>
        </w:rPr>
        <w:t xml:space="preserve">The average weight of spleen of </w:t>
      </w:r>
      <w:r w:rsidRPr="00A51A7C">
        <w:rPr>
          <w:rFonts w:cs="Times"/>
          <w:iCs/>
          <w:vertAlign w:val="superscript"/>
        </w:rPr>
        <w:t>153</w:t>
      </w:r>
      <w:r w:rsidRPr="00A51A7C">
        <w:rPr>
          <w:rFonts w:cs="Times"/>
          <w:iCs/>
        </w:rPr>
        <w:t xml:space="preserve">Sm@CNT treated mice was reduced compared to untreated tumor-bearing mice. </w:t>
      </w:r>
      <w:r w:rsidRPr="00A51A7C">
        <w:rPr>
          <w:rFonts w:cs="Times"/>
        </w:rPr>
        <w:t xml:space="preserve">This is less likely to be general toxicity of the CNTs but </w:t>
      </w:r>
      <w:r w:rsidRPr="00A51A7C">
        <w:rPr>
          <w:rFonts w:cs="Times"/>
          <w:iCs/>
        </w:rPr>
        <w:t xml:space="preserve">a consequence of the high spleen uptake of </w:t>
      </w:r>
      <w:r w:rsidRPr="00A51A7C">
        <w:rPr>
          <w:rFonts w:cs="Times"/>
          <w:iCs/>
          <w:vertAlign w:val="superscript"/>
        </w:rPr>
        <w:t>153</w:t>
      </w:r>
      <w:r w:rsidRPr="00A51A7C">
        <w:rPr>
          <w:rFonts w:cs="Times"/>
          <w:iCs/>
        </w:rPr>
        <w:t xml:space="preserve">Sm@CNTs leading to high radioactivity accumulation. Histological examination on spleen with profound observation of the death of </w:t>
      </w:r>
      <w:proofErr w:type="spellStart"/>
      <w:r w:rsidRPr="00A51A7C">
        <w:rPr>
          <w:rFonts w:cs="Times"/>
          <w:iCs/>
        </w:rPr>
        <w:t>splenocytes</w:t>
      </w:r>
      <w:proofErr w:type="spellEnd"/>
      <w:r w:rsidRPr="00A51A7C">
        <w:rPr>
          <w:rFonts w:cs="Times"/>
          <w:iCs/>
        </w:rPr>
        <w:t xml:space="preserve"> could explain the spleen and body weight reduction of </w:t>
      </w:r>
      <w:r w:rsidRPr="00A51A7C">
        <w:rPr>
          <w:rFonts w:cs="Times"/>
          <w:iCs/>
          <w:vertAlign w:val="superscript"/>
        </w:rPr>
        <w:t>153</w:t>
      </w:r>
      <w:r w:rsidRPr="00A51A7C">
        <w:rPr>
          <w:rFonts w:cs="Times"/>
          <w:iCs/>
        </w:rPr>
        <w:t xml:space="preserve">Sm@CNT treated mice since </w:t>
      </w:r>
      <w:r w:rsidRPr="00A51A7C">
        <w:rPr>
          <w:rFonts w:cs="Times"/>
        </w:rPr>
        <w:t xml:space="preserve">the malfunction of spleen can debilitate the immune system </w:t>
      </w:r>
      <w:r w:rsidRPr="00A51A7C">
        <w:rPr>
          <w:rFonts w:cs="Times"/>
          <w:iCs/>
        </w:rPr>
        <w:t>(Figure 4c)</w:t>
      </w:r>
      <w:r w:rsidRPr="00A51A7C">
        <w:rPr>
          <w:rFonts w:cs="Times"/>
        </w:rPr>
        <w:t>.</w:t>
      </w:r>
      <w:r w:rsidRPr="00A51A7C">
        <w:rPr>
          <w:rFonts w:cs="Times"/>
          <w:iCs/>
        </w:rPr>
        <w:t xml:space="preserve"> No histological abnormalities were observed for heart, liver, and kidney. The lack of liver toxicity further supports containments of </w:t>
      </w:r>
      <w:r w:rsidRPr="00A51A7C">
        <w:rPr>
          <w:rFonts w:cs="Times"/>
          <w:iCs/>
          <w:vertAlign w:val="superscript"/>
        </w:rPr>
        <w:t>153</w:t>
      </w:r>
      <w:r w:rsidRPr="00A51A7C">
        <w:rPr>
          <w:rFonts w:cs="Times"/>
          <w:iCs/>
        </w:rPr>
        <w:t xml:space="preserve">Sm within the CNTs </w:t>
      </w:r>
      <w:r w:rsidRPr="00A51A7C">
        <w:rPr>
          <w:rFonts w:cs="Times"/>
          <w:i/>
          <w:iCs/>
        </w:rPr>
        <w:t>in vivo</w:t>
      </w:r>
      <w:r w:rsidRPr="00A51A7C">
        <w:rPr>
          <w:rFonts w:cs="Times"/>
          <w:iCs/>
        </w:rPr>
        <w:t xml:space="preserve">. For example, studies by other groups demonstrated hepatotoxicity with </w:t>
      </w:r>
      <w:proofErr w:type="spellStart"/>
      <w:r w:rsidRPr="00A51A7C">
        <w:rPr>
          <w:rFonts w:cs="Times"/>
          <w:iCs/>
        </w:rPr>
        <w:t>unchelated</w:t>
      </w:r>
      <w:proofErr w:type="spellEnd"/>
      <w:r w:rsidRPr="00A51A7C">
        <w:rPr>
          <w:rFonts w:cs="Times"/>
          <w:iCs/>
        </w:rPr>
        <w:t xml:space="preserve"> </w:t>
      </w:r>
      <w:r w:rsidRPr="00A51A7C">
        <w:rPr>
          <w:rFonts w:cs="Times"/>
          <w:iCs/>
          <w:vertAlign w:val="superscript"/>
        </w:rPr>
        <w:t>153</w:t>
      </w:r>
      <w:r w:rsidRPr="00A51A7C">
        <w:rPr>
          <w:rFonts w:cs="Times"/>
          <w:iCs/>
        </w:rPr>
        <w:t>Sm which naturally ends up in reticuloendothelial organs such as the liver and spleen.</w:t>
      </w:r>
      <w:r w:rsidR="00667C01" w:rsidRPr="00A51A7C">
        <w:rPr>
          <w:rFonts w:cs="Times"/>
          <w:iCs/>
          <w:noProof/>
          <w:vertAlign w:val="superscript"/>
        </w:rPr>
        <w:t>47, 72</w:t>
      </w:r>
      <w:r w:rsidRPr="00A51A7C">
        <w:rPr>
          <w:rFonts w:cs="Times"/>
          <w:iCs/>
        </w:rPr>
        <w:t xml:space="preserve"> Hematological and inflammatory examinations are needed in future investigations.</w:t>
      </w:r>
    </w:p>
    <w:p w:rsidR="000B54A2" w:rsidRPr="00A51A7C" w:rsidRDefault="00B2084B" w:rsidP="00D658CB">
      <w:pPr>
        <w:spacing w:after="0" w:line="480" w:lineRule="auto"/>
        <w:ind w:firstLine="204"/>
        <w:rPr>
          <w:rFonts w:cs="Times"/>
        </w:rPr>
      </w:pPr>
      <w:r w:rsidRPr="00A51A7C">
        <w:rPr>
          <w:rFonts w:cs="Times"/>
          <w:b/>
        </w:rPr>
        <w:t xml:space="preserve">Dosimetry simulation studies. </w:t>
      </w:r>
      <w:r w:rsidR="000B54A2" w:rsidRPr="00A51A7C">
        <w:rPr>
          <w:rFonts w:cs="Times"/>
        </w:rPr>
        <w:t xml:space="preserve">Since the developed therapeutic </w:t>
      </w:r>
      <w:r w:rsidR="000B54A2" w:rsidRPr="00A51A7C">
        <w:rPr>
          <w:rFonts w:cs="Times"/>
          <w:vertAlign w:val="superscript"/>
        </w:rPr>
        <w:t>153</w:t>
      </w:r>
      <w:r w:rsidR="000B54A2" w:rsidRPr="00A51A7C">
        <w:rPr>
          <w:rFonts w:cs="Times"/>
        </w:rPr>
        <w:t xml:space="preserve">Sm@CNT nanocapsules achieved promising killing effect on tumor cells, a model was established to simulate the performed radiation therapy. Figure 5 shows the comparison between the experimental (green dots) and simulated tumor growth (blue lines, </w:t>
      </w:r>
      <w:r w:rsidR="000B54A2" w:rsidRPr="00A51A7C">
        <w:rPr>
          <w:rFonts w:cs="Times"/>
          <w:lang w:eastAsia="cs-CZ"/>
        </w:rPr>
        <w:t>according to equation (2)</w:t>
      </w:r>
      <w:r w:rsidR="000B54A2" w:rsidRPr="00A51A7C">
        <w:rPr>
          <w:rFonts w:cs="Times"/>
        </w:rPr>
        <w:t xml:space="preserve">) data of untreated mice, </w:t>
      </w:r>
      <w:r w:rsidR="000B54A2" w:rsidRPr="00A51A7C">
        <w:rPr>
          <w:rFonts w:cs="Times"/>
        </w:rPr>
        <w:lastRenderedPageBreak/>
        <w:t xml:space="preserve">and mice treated with </w:t>
      </w:r>
      <w:r w:rsidR="000B54A2" w:rsidRPr="00A51A7C">
        <w:rPr>
          <w:rFonts w:cs="Times"/>
          <w:iCs/>
          <w:vertAlign w:val="superscript"/>
        </w:rPr>
        <w:t>153</w:t>
      </w:r>
      <w:r w:rsidR="000B54A2" w:rsidRPr="00A51A7C">
        <w:rPr>
          <w:rFonts w:cs="Times"/>
          <w:iCs/>
        </w:rPr>
        <w:t xml:space="preserve">Sm@SWNT or </w:t>
      </w:r>
      <w:r w:rsidR="000B54A2" w:rsidRPr="00A51A7C">
        <w:rPr>
          <w:rFonts w:cs="Times"/>
          <w:iCs/>
          <w:vertAlign w:val="superscript"/>
        </w:rPr>
        <w:t>153</w:t>
      </w:r>
      <w:r w:rsidR="000B54A2" w:rsidRPr="00A51A7C">
        <w:rPr>
          <w:rFonts w:cs="Times"/>
          <w:iCs/>
        </w:rPr>
        <w:t>Sm@MWNT</w:t>
      </w:r>
      <w:r w:rsidR="000B54A2" w:rsidRPr="00A51A7C">
        <w:rPr>
          <w:rFonts w:cs="Times"/>
        </w:rPr>
        <w:t xml:space="preserve">. The </w:t>
      </w:r>
      <w:r w:rsidR="000B54A2" w:rsidRPr="00A51A7C">
        <w:rPr>
          <w:rFonts w:cs="Times"/>
          <w:iCs/>
          <w:vertAlign w:val="superscript"/>
        </w:rPr>
        <w:t>153</w:t>
      </w:r>
      <w:r w:rsidR="000B54A2" w:rsidRPr="00A51A7C">
        <w:rPr>
          <w:rFonts w:cs="Times"/>
          <w:iCs/>
        </w:rPr>
        <w:t xml:space="preserve">Sm@CNTs </w:t>
      </w:r>
      <w:r w:rsidR="000B54A2" w:rsidRPr="00A51A7C">
        <w:rPr>
          <w:rFonts w:cs="Times"/>
        </w:rPr>
        <w:t xml:space="preserve">were injected on day 8 which is the reason for the hump on the simulated curve at day 8. For both </w:t>
      </w:r>
      <w:r w:rsidR="000B54A2" w:rsidRPr="00A51A7C">
        <w:rPr>
          <w:rFonts w:cs="Times"/>
          <w:iCs/>
          <w:vertAlign w:val="superscript"/>
        </w:rPr>
        <w:t>153</w:t>
      </w:r>
      <w:r w:rsidR="000B54A2" w:rsidRPr="00A51A7C">
        <w:rPr>
          <w:rFonts w:cs="Times"/>
          <w:iCs/>
        </w:rPr>
        <w:t xml:space="preserve">Sm@SWNT and </w:t>
      </w:r>
      <w:r w:rsidR="000B54A2" w:rsidRPr="00A51A7C">
        <w:rPr>
          <w:rFonts w:cs="Times"/>
          <w:iCs/>
          <w:vertAlign w:val="superscript"/>
        </w:rPr>
        <w:t>153</w:t>
      </w:r>
      <w:r w:rsidR="000B54A2" w:rsidRPr="00A51A7C">
        <w:rPr>
          <w:rFonts w:cs="Times"/>
          <w:iCs/>
        </w:rPr>
        <w:t>Sm@MWNT</w:t>
      </w:r>
      <w:r w:rsidR="000B54A2" w:rsidRPr="00A51A7C">
        <w:rPr>
          <w:rFonts w:cs="Times"/>
        </w:rPr>
        <w:t xml:space="preserve"> the effect of irradiation was to decrease the rate of tumor growth</w:t>
      </w:r>
      <w:r w:rsidR="000B54A2" w:rsidRPr="00A51A7C">
        <w:rPr>
          <w:rFonts w:cs="Times"/>
          <w:iCs/>
        </w:rPr>
        <w:t xml:space="preserve">. </w:t>
      </w:r>
      <w:r w:rsidR="000B54A2" w:rsidRPr="00A51A7C">
        <w:rPr>
          <w:rFonts w:cs="Times"/>
        </w:rPr>
        <w:t>Despite the many simplifying assumptions of the model (</w:t>
      </w:r>
      <w:r w:rsidR="000B54A2" w:rsidRPr="00A51A7C">
        <w:rPr>
          <w:rFonts w:cs="Times"/>
          <w:i/>
        </w:rPr>
        <w:t>e.g.</w:t>
      </w:r>
      <w:r w:rsidR="000B54A2" w:rsidRPr="00A51A7C">
        <w:rPr>
          <w:rFonts w:cs="Times"/>
        </w:rPr>
        <w:t xml:space="preserve"> mono-exponential uptake, washout, and proliferation rates), the simulations reproduced the general trend of the experimental data for both systems. Moreover, the simulations successfully predicted that, for the particular administered activity, </w:t>
      </w:r>
      <w:proofErr w:type="spellStart"/>
      <w:r w:rsidR="000B54A2" w:rsidRPr="00A51A7C">
        <w:rPr>
          <w:rFonts w:cs="Times"/>
        </w:rPr>
        <w:t>biodistribution</w:t>
      </w:r>
      <w:proofErr w:type="spellEnd"/>
      <w:r w:rsidR="000B54A2" w:rsidRPr="00A51A7C">
        <w:rPr>
          <w:rFonts w:cs="Times"/>
        </w:rPr>
        <w:t xml:space="preserve"> features and tumor cell type, the resulting dose rate was not high enough. The performed radiotherapy clearly decreased the rate of tumor growth; however, the cell killing could not dominate over cell proliferation which could lead to complete tumor regression. The simulations suggest that local tumor control (defined here as the eradication of all tumor cells with 95% probability) requires roughly 17-28 times higher administered activities (330 </w:t>
      </w:r>
      <w:proofErr w:type="spellStart"/>
      <w:r w:rsidR="000B54A2" w:rsidRPr="00A51A7C">
        <w:rPr>
          <w:rFonts w:cs="Times"/>
        </w:rPr>
        <w:t>MBq</w:t>
      </w:r>
      <w:proofErr w:type="spellEnd"/>
      <w:r w:rsidR="000B54A2" w:rsidRPr="00A51A7C">
        <w:rPr>
          <w:rFonts w:cs="Times"/>
        </w:rPr>
        <w:t xml:space="preserve"> for </w:t>
      </w:r>
      <w:r w:rsidR="000B54A2" w:rsidRPr="00A51A7C">
        <w:rPr>
          <w:rFonts w:cs="Times"/>
          <w:vertAlign w:val="superscript"/>
        </w:rPr>
        <w:t>153</w:t>
      </w:r>
      <w:r w:rsidR="000B54A2" w:rsidRPr="00A51A7C">
        <w:rPr>
          <w:rFonts w:cs="Times"/>
        </w:rPr>
        <w:t xml:space="preserve">Sm@MWNT and 550 </w:t>
      </w:r>
      <w:proofErr w:type="spellStart"/>
      <w:r w:rsidR="000B54A2" w:rsidRPr="00A51A7C">
        <w:rPr>
          <w:rFonts w:cs="Times"/>
        </w:rPr>
        <w:t>MBq</w:t>
      </w:r>
      <w:proofErr w:type="spellEnd"/>
      <w:r w:rsidR="000B54A2" w:rsidRPr="00A51A7C">
        <w:rPr>
          <w:rFonts w:cs="Times"/>
        </w:rPr>
        <w:t xml:space="preserve"> for </w:t>
      </w:r>
      <w:r w:rsidR="000B54A2" w:rsidRPr="00A51A7C">
        <w:rPr>
          <w:rFonts w:cs="Times"/>
          <w:vertAlign w:val="superscript"/>
        </w:rPr>
        <w:t>153</w:t>
      </w:r>
      <w:r w:rsidR="000B54A2" w:rsidRPr="00A51A7C">
        <w:rPr>
          <w:rFonts w:cs="Times"/>
        </w:rPr>
        <w:t xml:space="preserve">Sm@SWNT). Taking into account the obtained SRA values for the prepared nanocapsules, it is indeed possible to administer the required dose for complete eradication of cancer </w:t>
      </w:r>
      <w:r w:rsidR="000B54A2" w:rsidRPr="00A51A7C">
        <w:rPr>
          <w:rFonts w:cs="Times"/>
          <w:i/>
        </w:rPr>
        <w:t>in vivo</w:t>
      </w:r>
      <w:r w:rsidR="000B54A2" w:rsidRPr="00A51A7C">
        <w:rPr>
          <w:rFonts w:cs="Times"/>
        </w:rPr>
        <w:t xml:space="preserve"> (ca. 30–90 µg of undiluted </w:t>
      </w:r>
      <w:r w:rsidR="000B54A2" w:rsidRPr="00A51A7C">
        <w:rPr>
          <w:rFonts w:cs="Times"/>
          <w:vertAlign w:val="superscript"/>
        </w:rPr>
        <w:t>153</w:t>
      </w:r>
      <w:r w:rsidR="000B54A2" w:rsidRPr="00A51A7C">
        <w:rPr>
          <w:rFonts w:cs="Times"/>
        </w:rPr>
        <w:t xml:space="preserve">Sm@CNT). In view of efficacy and safety, toxicity profiles using higher doses should be further studied. Due to radiation regulation limits, a much lower dose (20 </w:t>
      </w:r>
      <w:proofErr w:type="spellStart"/>
      <w:r w:rsidR="000B54A2" w:rsidRPr="00A51A7C">
        <w:rPr>
          <w:rFonts w:cs="Times"/>
        </w:rPr>
        <w:t>MBq</w:t>
      </w:r>
      <w:proofErr w:type="spellEnd"/>
      <w:r w:rsidR="000B54A2" w:rsidRPr="00A51A7C">
        <w:rPr>
          <w:rFonts w:cs="Times"/>
        </w:rPr>
        <w:t xml:space="preserve">) has been employed herein for the internal radiation therapy studies. </w:t>
      </w:r>
      <w:r w:rsidR="001706C8" w:rsidRPr="00A51A7C">
        <w:rPr>
          <w:rFonts w:cs="Times"/>
        </w:rPr>
        <w:t>Significant delay in tumor growth has been observed e</w:t>
      </w:r>
      <w:r w:rsidR="000B54A2" w:rsidRPr="00A51A7C">
        <w:rPr>
          <w:rFonts w:cs="Times"/>
        </w:rPr>
        <w:t>ven using such small doses.</w:t>
      </w:r>
    </w:p>
    <w:p w:rsidR="004D6769" w:rsidRPr="00A51A7C" w:rsidRDefault="004D6769" w:rsidP="00D658CB">
      <w:pPr>
        <w:pStyle w:val="TAMainText"/>
        <w:ind w:firstLine="204"/>
        <w:rPr>
          <w:rFonts w:cs="Times"/>
        </w:rPr>
      </w:pPr>
    </w:p>
    <w:p w:rsidR="004D6769" w:rsidRPr="00A51A7C" w:rsidRDefault="004D6769" w:rsidP="00D658CB">
      <w:pPr>
        <w:pStyle w:val="TAMainText"/>
        <w:ind w:firstLine="204"/>
        <w:rPr>
          <w:rFonts w:cs="Times"/>
        </w:rPr>
      </w:pPr>
      <w:r w:rsidRPr="00A51A7C">
        <w:rPr>
          <w:rFonts w:cs="Times"/>
        </w:rPr>
        <w:t>CONCLUSIONS</w:t>
      </w:r>
    </w:p>
    <w:p w:rsidR="000B54A2" w:rsidRPr="00A51A7C" w:rsidRDefault="00F20E49" w:rsidP="00D658CB">
      <w:pPr>
        <w:spacing w:after="0" w:line="480" w:lineRule="auto"/>
        <w:ind w:firstLine="204"/>
        <w:rPr>
          <w:rFonts w:cs="Times"/>
          <w:iCs/>
        </w:rPr>
      </w:pPr>
      <w:r w:rsidRPr="00A51A7C">
        <w:rPr>
          <w:rFonts w:cs="Times"/>
        </w:rPr>
        <w:t>T</w:t>
      </w:r>
      <w:r w:rsidR="000B54A2" w:rsidRPr="00A51A7C">
        <w:rPr>
          <w:rFonts w:cs="Times"/>
        </w:rPr>
        <w:t xml:space="preserve">he </w:t>
      </w:r>
      <w:r w:rsidRPr="00A51A7C">
        <w:rPr>
          <w:rFonts w:cs="Times"/>
        </w:rPr>
        <w:t>development</w:t>
      </w:r>
      <w:r w:rsidR="000B54A2" w:rsidRPr="00A51A7C">
        <w:rPr>
          <w:rFonts w:cs="Times"/>
        </w:rPr>
        <w:t xml:space="preserve"> of radiopharmaceuticals </w:t>
      </w:r>
      <w:r w:rsidRPr="00A51A7C">
        <w:rPr>
          <w:rFonts w:cs="Times"/>
        </w:rPr>
        <w:t>require</w:t>
      </w:r>
      <w:r w:rsidR="003323FE" w:rsidRPr="00A51A7C">
        <w:rPr>
          <w:rFonts w:cs="Times"/>
        </w:rPr>
        <w:t>s</w:t>
      </w:r>
      <w:r w:rsidR="000B54A2" w:rsidRPr="00A51A7C">
        <w:rPr>
          <w:rFonts w:cs="Times"/>
        </w:rPr>
        <w:t xml:space="preserve"> </w:t>
      </w:r>
      <w:r w:rsidRPr="00A51A7C">
        <w:rPr>
          <w:rFonts w:cs="Times"/>
        </w:rPr>
        <w:t xml:space="preserve">a simple and safe </w:t>
      </w:r>
      <w:r w:rsidR="000B54A2" w:rsidRPr="00A51A7C">
        <w:rPr>
          <w:rFonts w:cs="Times"/>
        </w:rPr>
        <w:t>handling of raw materials and final products, during both the manufacturing process, at the point of care, and during the intermediate steps</w:t>
      </w:r>
      <w:r w:rsidRPr="00A51A7C">
        <w:rPr>
          <w:rFonts w:cs="Times"/>
        </w:rPr>
        <w:t>.</w:t>
      </w:r>
      <w:r w:rsidR="000B54A2" w:rsidRPr="00A51A7C">
        <w:rPr>
          <w:rFonts w:cs="Times"/>
        </w:rPr>
        <w:t xml:space="preserve"> </w:t>
      </w:r>
      <w:r w:rsidRPr="00A51A7C">
        <w:rPr>
          <w:rFonts w:cs="Times"/>
        </w:rPr>
        <w:t>F</w:t>
      </w:r>
      <w:r w:rsidR="000B54A2" w:rsidRPr="00A51A7C">
        <w:rPr>
          <w:rFonts w:cs="Times"/>
        </w:rPr>
        <w:t xml:space="preserve">urthermore, </w:t>
      </w:r>
      <w:r w:rsidRPr="00A51A7C">
        <w:rPr>
          <w:rFonts w:cs="Times"/>
        </w:rPr>
        <w:t xml:space="preserve">radiopharmaceuticals </w:t>
      </w:r>
      <w:r w:rsidR="000B54A2" w:rsidRPr="00A51A7C">
        <w:rPr>
          <w:rFonts w:cs="Times"/>
        </w:rPr>
        <w:t xml:space="preserve">must be chosen carefully to deliver the correct activity for the particular radionuclide, given its’ half-life. The current work is an original </w:t>
      </w:r>
      <w:r w:rsidR="000B54A2" w:rsidRPr="00A51A7C">
        <w:rPr>
          <w:rFonts w:cs="Times"/>
        </w:rPr>
        <w:lastRenderedPageBreak/>
        <w:t xml:space="preserve">concept to produce highly energetic </w:t>
      </w:r>
      <w:r w:rsidR="000B54A2" w:rsidRPr="00A51A7C">
        <w:rPr>
          <w:rFonts w:cs="Times"/>
          <w:iCs/>
          <w:vertAlign w:val="superscript"/>
        </w:rPr>
        <w:t>153</w:t>
      </w:r>
      <w:r w:rsidR="000B54A2" w:rsidRPr="00A51A7C">
        <w:rPr>
          <w:rFonts w:cs="Times"/>
          <w:iCs/>
        </w:rPr>
        <w:t xml:space="preserve">Sm-encapsulated CNTs </w:t>
      </w:r>
      <w:r w:rsidR="000B54A2" w:rsidRPr="00A51A7C">
        <w:rPr>
          <w:rFonts w:cs="Times"/>
          <w:i/>
          <w:iCs/>
        </w:rPr>
        <w:t>via</w:t>
      </w:r>
      <w:r w:rsidR="000B54A2" w:rsidRPr="00A51A7C">
        <w:rPr>
          <w:rFonts w:cs="Times"/>
          <w:iCs/>
        </w:rPr>
        <w:t xml:space="preserve"> a stable intermediate </w:t>
      </w:r>
      <w:r w:rsidR="000B54A2" w:rsidRPr="00A51A7C">
        <w:rPr>
          <w:rFonts w:cs="Times"/>
        </w:rPr>
        <w:t xml:space="preserve">consisting of </w:t>
      </w:r>
      <w:r w:rsidR="000B54A2" w:rsidRPr="00A51A7C">
        <w:rPr>
          <w:rFonts w:cs="Times"/>
          <w:iCs/>
          <w:vertAlign w:val="superscript"/>
        </w:rPr>
        <w:t>152</w:t>
      </w:r>
      <w:r w:rsidR="000B54A2" w:rsidRPr="00A51A7C">
        <w:rPr>
          <w:rFonts w:cs="Times"/>
          <w:iCs/>
        </w:rPr>
        <w:t xml:space="preserve">Sm-filled CNT </w:t>
      </w:r>
      <w:proofErr w:type="gramStart"/>
      <w:r w:rsidR="000B54A2" w:rsidRPr="00A51A7C">
        <w:rPr>
          <w:rFonts w:cs="Times"/>
          <w:iCs/>
        </w:rPr>
        <w:t>nanocapsules, that</w:t>
      </w:r>
      <w:proofErr w:type="gramEnd"/>
      <w:r w:rsidR="000B54A2" w:rsidRPr="00A51A7C">
        <w:rPr>
          <w:rFonts w:cs="Times"/>
          <w:iCs/>
        </w:rPr>
        <w:t xml:space="preserve"> may ultimately be used in a therapeutic context. Preparing the CNT nanocapsules in this way enables control over the </w:t>
      </w:r>
      <w:r w:rsidR="000B54A2" w:rsidRPr="00A51A7C">
        <w:rPr>
          <w:rFonts w:cs="Times"/>
          <w:iCs/>
          <w:vertAlign w:val="superscript"/>
        </w:rPr>
        <w:t>153</w:t>
      </w:r>
      <w:r w:rsidR="000B54A2" w:rsidRPr="00A51A7C">
        <w:rPr>
          <w:rFonts w:cs="Times"/>
          <w:iCs/>
        </w:rPr>
        <w:t xml:space="preserve">Sm content and consequently, the activity. Furthermore, it reduces the process-complexity and the amount of waste that would be generated if one performed the encapsulation process directly on radioactive isotopes. </w:t>
      </w:r>
      <w:r w:rsidR="000B54A2" w:rsidRPr="00A51A7C">
        <w:rPr>
          <w:rFonts w:cs="Times"/>
        </w:rPr>
        <w:t xml:space="preserve">Finally, the isotopically enriched ‘cold’ nanocapsules can be stored and activated by neutron irradiation when needed. Neutron irradiation of ‘cold’ </w:t>
      </w:r>
      <w:r w:rsidR="000B54A2" w:rsidRPr="00A51A7C">
        <w:rPr>
          <w:rFonts w:cs="Times"/>
          <w:vertAlign w:val="superscript"/>
        </w:rPr>
        <w:t>152</w:t>
      </w:r>
      <w:r w:rsidR="000B54A2" w:rsidRPr="00A51A7C">
        <w:rPr>
          <w:rFonts w:cs="Times"/>
        </w:rPr>
        <w:t xml:space="preserve">Sm-nanocapsules turned out to be robust, especially for MWNT with 92% retention of </w:t>
      </w:r>
      <w:r w:rsidR="000B54A2" w:rsidRPr="00A51A7C">
        <w:rPr>
          <w:rFonts w:cs="Times"/>
          <w:vertAlign w:val="superscript"/>
        </w:rPr>
        <w:t>153</w:t>
      </w:r>
      <w:r w:rsidR="000B54A2" w:rsidRPr="00A51A7C">
        <w:rPr>
          <w:rFonts w:cs="Times"/>
        </w:rPr>
        <w:t xml:space="preserve">Sm. Extremely high SRA were obtained (6.33 </w:t>
      </w:r>
      <w:proofErr w:type="spellStart"/>
      <w:r w:rsidR="000B54A2" w:rsidRPr="00A51A7C">
        <w:rPr>
          <w:rFonts w:cs="Times"/>
        </w:rPr>
        <w:t>GBq</w:t>
      </w:r>
      <w:proofErr w:type="spellEnd"/>
      <w:r w:rsidR="000B54A2" w:rsidRPr="00A51A7C">
        <w:rPr>
          <w:rFonts w:cs="Times"/>
        </w:rPr>
        <w:t xml:space="preserve">/mg for </w:t>
      </w:r>
      <w:r w:rsidR="000B54A2" w:rsidRPr="00A51A7C">
        <w:rPr>
          <w:rFonts w:cs="Times"/>
          <w:vertAlign w:val="superscript"/>
        </w:rPr>
        <w:t>153</w:t>
      </w:r>
      <w:r w:rsidR="000B54A2" w:rsidRPr="00A51A7C">
        <w:rPr>
          <w:rFonts w:cs="Times"/>
        </w:rPr>
        <w:t>Sm@MWNTs and 1</w:t>
      </w:r>
      <w:bookmarkStart w:id="0" w:name="_GoBack"/>
      <w:bookmarkEnd w:id="0"/>
      <w:r w:rsidR="000B54A2" w:rsidRPr="00A51A7C">
        <w:rPr>
          <w:rFonts w:cs="Times"/>
        </w:rPr>
        <w:t xml:space="preserve">1.3 </w:t>
      </w:r>
      <w:proofErr w:type="spellStart"/>
      <w:r w:rsidR="000B54A2" w:rsidRPr="00A51A7C">
        <w:rPr>
          <w:rFonts w:cs="Times"/>
        </w:rPr>
        <w:t>GBq</w:t>
      </w:r>
      <w:proofErr w:type="spellEnd"/>
      <w:r w:rsidR="000B54A2" w:rsidRPr="00A51A7C">
        <w:rPr>
          <w:rFonts w:cs="Times"/>
        </w:rPr>
        <w:t xml:space="preserve">/mg for </w:t>
      </w:r>
      <w:r w:rsidR="000B54A2" w:rsidRPr="00A51A7C">
        <w:rPr>
          <w:rFonts w:cs="Times"/>
          <w:vertAlign w:val="superscript"/>
        </w:rPr>
        <w:t>153</w:t>
      </w:r>
      <w:r w:rsidR="000B54A2" w:rsidRPr="00A51A7C">
        <w:rPr>
          <w:rFonts w:cs="Times"/>
        </w:rPr>
        <w:t>Sm@SWNTs), which allowed live imaging and therapy in experimental metastatic lung tumor model in mice. The obtained SRA are two orders of magnitude higher than those previously reported for neutron activated nanomaterials bearing clinically relevant radioisotopes.</w:t>
      </w:r>
      <w:r w:rsidR="00667C01" w:rsidRPr="00A51A7C">
        <w:rPr>
          <w:rFonts w:cs="Times"/>
          <w:noProof/>
          <w:vertAlign w:val="superscript"/>
        </w:rPr>
        <w:t>64</w:t>
      </w:r>
      <w:r w:rsidR="000B54A2" w:rsidRPr="00A51A7C">
        <w:rPr>
          <w:rFonts w:cs="Times"/>
        </w:rPr>
        <w:t xml:space="preserve"> On the other hand, the activity of a standard dose of clinically employed yttrium-90 microspheres is 2-4 GBq.</w:t>
      </w:r>
      <w:r w:rsidR="00667C01" w:rsidRPr="00A51A7C">
        <w:rPr>
          <w:rFonts w:cs="Times"/>
          <w:noProof/>
          <w:vertAlign w:val="superscript"/>
        </w:rPr>
        <w:t>76-78</w:t>
      </w:r>
      <w:r w:rsidR="000B54A2" w:rsidRPr="00A51A7C">
        <w:rPr>
          <w:rFonts w:cs="Times"/>
        </w:rPr>
        <w:t xml:space="preserve">, requiring the administration of over 100 mg (52.0 </w:t>
      </w:r>
      <w:proofErr w:type="spellStart"/>
      <w:r w:rsidR="000B54A2" w:rsidRPr="00A51A7C">
        <w:rPr>
          <w:rFonts w:cs="Times"/>
        </w:rPr>
        <w:t>mCi</w:t>
      </w:r>
      <w:proofErr w:type="spellEnd"/>
      <w:r w:rsidR="000B54A2" w:rsidRPr="00A51A7C">
        <w:rPr>
          <w:rFonts w:cs="Times"/>
        </w:rPr>
        <w:t xml:space="preserve"> in 116 mg </w:t>
      </w:r>
      <w:proofErr w:type="spellStart"/>
      <w:r w:rsidR="000B54A2" w:rsidRPr="00A51A7C">
        <w:rPr>
          <w:rFonts w:cs="Times"/>
          <w:lang w:eastAsia="en-GB"/>
        </w:rPr>
        <w:t>TheraSphere</w:t>
      </w:r>
      <w:proofErr w:type="spellEnd"/>
      <w:r w:rsidR="000B54A2" w:rsidRPr="00A51A7C">
        <w:rPr>
          <w:rFonts w:cs="Times"/>
          <w:vertAlign w:val="superscript"/>
          <w:lang w:eastAsia="en-GB"/>
        </w:rPr>
        <w:t>®</w:t>
      </w:r>
      <w:r w:rsidR="000B54A2" w:rsidRPr="00A51A7C">
        <w:rPr>
          <w:rFonts w:cs="Times"/>
        </w:rPr>
        <w:t>).</w:t>
      </w:r>
      <w:r w:rsidR="00667C01" w:rsidRPr="00A51A7C">
        <w:rPr>
          <w:rFonts w:cs="Times"/>
          <w:noProof/>
          <w:vertAlign w:val="superscript"/>
        </w:rPr>
        <w:t>79</w:t>
      </w:r>
      <w:r w:rsidR="000B54A2" w:rsidRPr="00A51A7C">
        <w:rPr>
          <w:rFonts w:cs="Times"/>
        </w:rPr>
        <w:t xml:space="preserve"> </w:t>
      </w:r>
      <w:r w:rsidR="001706C8" w:rsidRPr="00A51A7C">
        <w:rPr>
          <w:rFonts w:cs="Times"/>
        </w:rPr>
        <w:t>T</w:t>
      </w:r>
      <w:r w:rsidR="000B54A2" w:rsidRPr="00A51A7C">
        <w:rPr>
          <w:rFonts w:cs="Times"/>
        </w:rPr>
        <w:t>his activity can be achieved with less than 1 mg of the developed nanocapsules. Dosimetry modelling</w:t>
      </w:r>
      <w:r w:rsidR="000B54A2" w:rsidRPr="00A51A7C">
        <w:rPr>
          <w:rFonts w:cs="Times"/>
          <w:iCs/>
        </w:rPr>
        <w:t xml:space="preserve"> studies can further optimize the treatment efficacy for potential clinical applications and predict the dose required. The preparation of nanocapsules with enriched isotopes benefits from </w:t>
      </w:r>
      <w:proofErr w:type="spellStart"/>
      <w:r w:rsidR="000B54A2" w:rsidRPr="00A51A7C">
        <w:rPr>
          <w:rFonts w:cs="Times"/>
          <w:iCs/>
        </w:rPr>
        <w:t>well established</w:t>
      </w:r>
      <w:proofErr w:type="spellEnd"/>
      <w:r w:rsidR="000B54A2" w:rsidRPr="00A51A7C">
        <w:rPr>
          <w:rFonts w:cs="Times"/>
          <w:iCs/>
        </w:rPr>
        <w:t xml:space="preserve"> filling and end closing strategies, thus giving versatility in the selection of neutron </w:t>
      </w:r>
      <w:proofErr w:type="spellStart"/>
      <w:r w:rsidR="000B54A2" w:rsidRPr="00A51A7C">
        <w:rPr>
          <w:rFonts w:cs="Times"/>
          <w:iCs/>
        </w:rPr>
        <w:t>activatable</w:t>
      </w:r>
      <w:proofErr w:type="spellEnd"/>
      <w:r w:rsidR="000B54A2" w:rsidRPr="00A51A7C">
        <w:rPr>
          <w:rFonts w:cs="Times"/>
          <w:iCs/>
        </w:rPr>
        <w:t xml:space="preserve"> imagi</w:t>
      </w:r>
      <w:r w:rsidR="007D3CE6" w:rsidRPr="00A51A7C">
        <w:rPr>
          <w:rFonts w:cs="Times"/>
          <w:iCs/>
        </w:rPr>
        <w:t xml:space="preserve">ng and/or therapeutic isotopes. </w:t>
      </w:r>
      <w:r w:rsidR="000B54A2" w:rsidRPr="00A51A7C">
        <w:rPr>
          <w:rFonts w:cs="Times"/>
        </w:rPr>
        <w:t>The possibility of carrying out further surface functionalization on the irradiated nanocapsules</w:t>
      </w:r>
      <w:r w:rsidR="000B54A2" w:rsidRPr="00A51A7C">
        <w:rPr>
          <w:rFonts w:cs="Times"/>
          <w:iCs/>
        </w:rPr>
        <w:t xml:space="preserve"> can potentially result in a stable </w:t>
      </w:r>
      <w:proofErr w:type="spellStart"/>
      <w:r w:rsidR="000B54A2" w:rsidRPr="00A51A7C">
        <w:rPr>
          <w:rFonts w:cs="Times"/>
          <w:iCs/>
        </w:rPr>
        <w:t>nanoconstruct</w:t>
      </w:r>
      <w:proofErr w:type="spellEnd"/>
      <w:r w:rsidR="000B54A2" w:rsidRPr="00A51A7C">
        <w:rPr>
          <w:rFonts w:cs="Times"/>
          <w:iCs/>
        </w:rPr>
        <w:t xml:space="preserve"> capable of </w:t>
      </w:r>
      <w:r w:rsidR="000B54A2" w:rsidRPr="00A51A7C">
        <w:rPr>
          <w:rFonts w:cs="Times"/>
          <w:i/>
          <w:iCs/>
        </w:rPr>
        <w:t>in vivo</w:t>
      </w:r>
      <w:r w:rsidR="000B54A2" w:rsidRPr="00A51A7C">
        <w:rPr>
          <w:rFonts w:cs="Times"/>
          <w:iCs/>
        </w:rPr>
        <w:t xml:space="preserve"> targeting, imaging, and therapy.</w:t>
      </w:r>
      <w:r w:rsidR="000B54A2" w:rsidRPr="00A51A7C">
        <w:rPr>
          <w:rFonts w:cs="Times"/>
        </w:rPr>
        <w:t xml:space="preserve"> </w:t>
      </w:r>
    </w:p>
    <w:p w:rsidR="00337337" w:rsidRPr="00A51A7C" w:rsidRDefault="00337337" w:rsidP="00D658CB">
      <w:pPr>
        <w:pStyle w:val="TAMainText"/>
        <w:ind w:firstLine="204"/>
        <w:rPr>
          <w:rFonts w:cs="Times"/>
        </w:rPr>
      </w:pPr>
    </w:p>
    <w:p w:rsidR="004D6769" w:rsidRPr="00A51A7C" w:rsidRDefault="004D6769" w:rsidP="00D658CB">
      <w:pPr>
        <w:pStyle w:val="TAMainText"/>
        <w:ind w:firstLine="204"/>
        <w:rPr>
          <w:rFonts w:cs="Times"/>
        </w:rPr>
      </w:pPr>
      <w:r w:rsidRPr="00A51A7C">
        <w:rPr>
          <w:rFonts w:cs="Times"/>
        </w:rPr>
        <w:t>METHODS</w:t>
      </w:r>
    </w:p>
    <w:p w:rsidR="0031077D" w:rsidRPr="00A51A7C" w:rsidRDefault="0031077D" w:rsidP="00D658CB">
      <w:pPr>
        <w:spacing w:after="0" w:line="480" w:lineRule="auto"/>
        <w:ind w:firstLine="204"/>
        <w:rPr>
          <w:rFonts w:cs="Times"/>
        </w:rPr>
      </w:pPr>
      <w:r w:rsidRPr="00A51A7C">
        <w:rPr>
          <w:rFonts w:cs="Times"/>
        </w:rPr>
        <w:t xml:space="preserve">Additional experimental details are included in the Supporting Information. </w:t>
      </w:r>
    </w:p>
    <w:p w:rsidR="00407C13" w:rsidRPr="00A51A7C" w:rsidRDefault="0031077D" w:rsidP="00D658CB">
      <w:pPr>
        <w:spacing w:after="0" w:line="480" w:lineRule="auto"/>
        <w:ind w:firstLine="204"/>
        <w:rPr>
          <w:rFonts w:cs="Times"/>
        </w:rPr>
      </w:pPr>
      <w:r w:rsidRPr="00A51A7C">
        <w:rPr>
          <w:rFonts w:cs="Times"/>
          <w:b/>
        </w:rPr>
        <w:lastRenderedPageBreak/>
        <w:t>Preparation of ‘cold’ nanocapsules (</w:t>
      </w:r>
      <w:r w:rsidRPr="00A51A7C">
        <w:rPr>
          <w:rFonts w:cs="Times"/>
          <w:b/>
          <w:vertAlign w:val="superscript"/>
        </w:rPr>
        <w:t>152</w:t>
      </w:r>
      <w:r w:rsidRPr="00A51A7C">
        <w:rPr>
          <w:rFonts w:cs="Times"/>
          <w:b/>
        </w:rPr>
        <w:t>Sm@CNT)</w:t>
      </w:r>
      <w:r w:rsidR="00C647D4" w:rsidRPr="00A51A7C">
        <w:rPr>
          <w:rFonts w:cs="Times"/>
          <w:b/>
        </w:rPr>
        <w:t>.</w:t>
      </w:r>
      <w:r w:rsidRPr="00A51A7C">
        <w:rPr>
          <w:rFonts w:cs="Times"/>
          <w:i/>
        </w:rPr>
        <w:t xml:space="preserve"> </w:t>
      </w:r>
      <w:r w:rsidRPr="00A51A7C">
        <w:rPr>
          <w:rFonts w:cs="Times"/>
        </w:rPr>
        <w:t>Both SWNTs and MWNTs (</w:t>
      </w:r>
      <w:proofErr w:type="spellStart"/>
      <w:r w:rsidRPr="00A51A7C">
        <w:rPr>
          <w:rFonts w:cs="Times"/>
        </w:rPr>
        <w:t>Elicarb</w:t>
      </w:r>
      <w:proofErr w:type="spellEnd"/>
      <w:r w:rsidRPr="00A51A7C">
        <w:rPr>
          <w:rFonts w:cs="Times"/>
          <w:vertAlign w:val="superscript"/>
        </w:rPr>
        <w:t>®</w:t>
      </w:r>
      <w:r w:rsidRPr="00A51A7C">
        <w:rPr>
          <w:rFonts w:cs="Times"/>
        </w:rPr>
        <w:t>) were initially treated to shorten the tubes, open their ends and remove carbonaceous and metallic (catalyst) impurities. SWNTs were exposed to a combined piranha-steam treatment, whereas MWNTs underwent a combined H</w:t>
      </w:r>
      <w:r w:rsidRPr="00A51A7C">
        <w:rPr>
          <w:rFonts w:cs="Times"/>
          <w:vertAlign w:val="subscript"/>
        </w:rPr>
        <w:t>2</w:t>
      </w:r>
      <w:r w:rsidRPr="00A51A7C">
        <w:rPr>
          <w:rFonts w:cs="Times"/>
        </w:rPr>
        <w:t>SO</w:t>
      </w:r>
      <w:r w:rsidRPr="00A51A7C">
        <w:rPr>
          <w:rFonts w:cs="Times"/>
          <w:vertAlign w:val="subscript"/>
        </w:rPr>
        <w:t>4</w:t>
      </w:r>
      <w:r w:rsidRPr="00A51A7C">
        <w:rPr>
          <w:rFonts w:cs="Times"/>
        </w:rPr>
        <w:t>:HNO</w:t>
      </w:r>
      <w:r w:rsidRPr="00A51A7C">
        <w:rPr>
          <w:rFonts w:cs="Times"/>
          <w:vertAlign w:val="subscript"/>
        </w:rPr>
        <w:t>3</w:t>
      </w:r>
      <w:r w:rsidRPr="00A51A7C">
        <w:rPr>
          <w:rFonts w:cs="Times"/>
        </w:rPr>
        <w:t>-steam treatment following previously reported protocols</w:t>
      </w:r>
      <w:r w:rsidR="00023E06" w:rsidRPr="00A51A7C">
        <w:rPr>
          <w:rFonts w:cs="Times"/>
        </w:rPr>
        <w:t>.</w:t>
      </w:r>
      <w:r w:rsidR="00667C01" w:rsidRPr="00A51A7C">
        <w:rPr>
          <w:rFonts w:cs="Times"/>
          <w:noProof/>
          <w:vertAlign w:val="superscript"/>
        </w:rPr>
        <w:t>62</w:t>
      </w:r>
      <w:r w:rsidRPr="00A51A7C">
        <w:rPr>
          <w:rFonts w:cs="Times"/>
        </w:rPr>
        <w:t xml:space="preserve"> </w:t>
      </w:r>
      <w:r w:rsidR="005E4C02" w:rsidRPr="00A51A7C">
        <w:rPr>
          <w:rFonts w:cs="Times"/>
        </w:rPr>
        <w:t>Steam is very efficient in removing functional groups and highly defective carbon nanotubes</w:t>
      </w:r>
      <w:r w:rsidR="00F212A4" w:rsidRPr="00A51A7C">
        <w:rPr>
          <w:rFonts w:cs="Times"/>
        </w:rPr>
        <w:t>.</w:t>
      </w:r>
      <w:r w:rsidR="00667C01" w:rsidRPr="00A51A7C">
        <w:rPr>
          <w:rFonts w:cs="Times"/>
          <w:noProof/>
          <w:vertAlign w:val="superscript"/>
        </w:rPr>
        <w:t>62</w:t>
      </w:r>
      <w:r w:rsidR="005E4C02" w:rsidRPr="00A51A7C">
        <w:rPr>
          <w:rFonts w:cs="Times"/>
        </w:rPr>
        <w:t xml:space="preserve"> </w:t>
      </w:r>
      <w:r w:rsidRPr="00A51A7C">
        <w:rPr>
          <w:rFonts w:cs="Times"/>
        </w:rPr>
        <w:t xml:space="preserve">Enriched </w:t>
      </w:r>
      <w:r w:rsidRPr="00A51A7C">
        <w:rPr>
          <w:rFonts w:cs="Times"/>
          <w:vertAlign w:val="superscript"/>
        </w:rPr>
        <w:t>152</w:t>
      </w:r>
      <w:r w:rsidRPr="00A51A7C">
        <w:rPr>
          <w:rFonts w:cs="Times"/>
        </w:rPr>
        <w:t>Sm</w:t>
      </w:r>
      <w:r w:rsidRPr="00A51A7C">
        <w:rPr>
          <w:rFonts w:cs="Times"/>
          <w:vertAlign w:val="subscript"/>
        </w:rPr>
        <w:t>2</w:t>
      </w:r>
      <w:r w:rsidRPr="00A51A7C">
        <w:rPr>
          <w:rFonts w:cs="Times"/>
        </w:rPr>
        <w:t>O</w:t>
      </w:r>
      <w:r w:rsidRPr="00A51A7C">
        <w:rPr>
          <w:rFonts w:cs="Times"/>
          <w:vertAlign w:val="subscript"/>
        </w:rPr>
        <w:t>3</w:t>
      </w:r>
      <w:r w:rsidRPr="00A51A7C">
        <w:rPr>
          <w:rFonts w:cs="Times"/>
        </w:rPr>
        <w:t xml:space="preserve"> (CIS-Bio International-Ion Beam Applications, France) was transformed to anhydrous </w:t>
      </w:r>
      <w:r w:rsidRPr="00A51A7C">
        <w:rPr>
          <w:rFonts w:cs="Times"/>
          <w:vertAlign w:val="superscript"/>
        </w:rPr>
        <w:t>152</w:t>
      </w:r>
      <w:r w:rsidRPr="00A51A7C">
        <w:rPr>
          <w:rFonts w:cs="Times"/>
        </w:rPr>
        <w:t>SmCl</w:t>
      </w:r>
      <w:r w:rsidRPr="00A51A7C">
        <w:rPr>
          <w:rFonts w:cs="Times"/>
          <w:vertAlign w:val="subscript"/>
        </w:rPr>
        <w:t>3</w:t>
      </w:r>
      <w:r w:rsidRPr="00A51A7C">
        <w:rPr>
          <w:rFonts w:cs="Times"/>
        </w:rPr>
        <w:t xml:space="preserve"> following the protocol reported for the synthesis of anhydrous SmCl</w:t>
      </w:r>
      <w:r w:rsidRPr="00A51A7C">
        <w:rPr>
          <w:rFonts w:cs="Times"/>
          <w:vertAlign w:val="subscript"/>
        </w:rPr>
        <w:t>3</w:t>
      </w:r>
      <w:r w:rsidRPr="00A51A7C">
        <w:rPr>
          <w:rFonts w:cs="Times"/>
        </w:rPr>
        <w:t xml:space="preserve"> with natural isotopic distribution (non-enriched).</w:t>
      </w:r>
      <w:r w:rsidR="00667C01" w:rsidRPr="00A51A7C">
        <w:rPr>
          <w:rFonts w:cs="Times"/>
          <w:noProof/>
          <w:vertAlign w:val="superscript"/>
        </w:rPr>
        <w:t>80</w:t>
      </w:r>
      <w:r w:rsidRPr="00A51A7C">
        <w:rPr>
          <w:rFonts w:cs="Times"/>
        </w:rPr>
        <w:t xml:space="preserve"> The synthesized anhydrous </w:t>
      </w:r>
      <w:r w:rsidRPr="00A51A7C">
        <w:rPr>
          <w:rFonts w:cs="Times"/>
          <w:vertAlign w:val="superscript"/>
        </w:rPr>
        <w:t>152</w:t>
      </w:r>
      <w:r w:rsidRPr="00A51A7C">
        <w:rPr>
          <w:rFonts w:cs="Times"/>
        </w:rPr>
        <w:t>SmCl</w:t>
      </w:r>
      <w:r w:rsidRPr="00A51A7C">
        <w:rPr>
          <w:rFonts w:cs="Times"/>
          <w:vertAlign w:val="subscript"/>
        </w:rPr>
        <w:t>3</w:t>
      </w:r>
      <w:r w:rsidRPr="00A51A7C">
        <w:rPr>
          <w:rFonts w:cs="Times"/>
        </w:rPr>
        <w:t xml:space="preserve"> is highly hygroscopic and was handled under an inert atmosphere, and employed for filling CNTs. SWNT or MWNT and </w:t>
      </w:r>
      <w:r w:rsidRPr="00A51A7C">
        <w:rPr>
          <w:rFonts w:cs="Times"/>
          <w:vertAlign w:val="superscript"/>
        </w:rPr>
        <w:t>152</w:t>
      </w:r>
      <w:r w:rsidRPr="00A51A7C">
        <w:rPr>
          <w:rFonts w:cs="Times"/>
        </w:rPr>
        <w:t>SmCl</w:t>
      </w:r>
      <w:r w:rsidRPr="00A51A7C">
        <w:rPr>
          <w:rFonts w:cs="Times"/>
          <w:vertAlign w:val="subscript"/>
        </w:rPr>
        <w:t>3</w:t>
      </w:r>
      <w:r w:rsidRPr="00A51A7C">
        <w:rPr>
          <w:rFonts w:cs="Times"/>
        </w:rPr>
        <w:t xml:space="preserve"> were ground together in a weight ratio 1:10 (CNTs:</w:t>
      </w:r>
      <w:r w:rsidRPr="00A51A7C">
        <w:rPr>
          <w:rFonts w:cs="Times"/>
          <w:vertAlign w:val="superscript"/>
        </w:rPr>
        <w:t>152</w:t>
      </w:r>
      <w:r w:rsidRPr="00A51A7C">
        <w:rPr>
          <w:rFonts w:cs="Times"/>
        </w:rPr>
        <w:t>SmCl</w:t>
      </w:r>
      <w:r w:rsidRPr="00A51A7C">
        <w:rPr>
          <w:rFonts w:cs="Times"/>
          <w:vertAlign w:val="subscript"/>
        </w:rPr>
        <w:t>3</w:t>
      </w:r>
      <w:r w:rsidRPr="00A51A7C">
        <w:rPr>
          <w:rFonts w:cs="Times"/>
        </w:rPr>
        <w:t>) inside an argon filled glove box, split in smaller fractions, placed inside silica tubes and sealed under vacuum. The mixtures were annealed for 12 h at 900 °C (SWNT) or 1200 °C (MWNT)  thus leading to the formation of carbon nanocapsules (closed-ended filled CNTs).</w:t>
      </w:r>
      <w:r w:rsidR="00667C01" w:rsidRPr="00A51A7C">
        <w:rPr>
          <w:rFonts w:cs="Times"/>
          <w:noProof/>
          <w:vertAlign w:val="superscript"/>
        </w:rPr>
        <w:t>29, 30</w:t>
      </w:r>
      <w:r w:rsidRPr="00A51A7C">
        <w:rPr>
          <w:rFonts w:cs="Times"/>
        </w:rPr>
        <w:t xml:space="preserve"> Removal of the non-encapsulated </w:t>
      </w:r>
      <w:r w:rsidRPr="00A51A7C">
        <w:rPr>
          <w:rFonts w:cs="Times"/>
          <w:vertAlign w:val="superscript"/>
        </w:rPr>
        <w:t>152</w:t>
      </w:r>
      <w:r w:rsidRPr="00A51A7C">
        <w:rPr>
          <w:rFonts w:cs="Times"/>
        </w:rPr>
        <w:t>SmCl</w:t>
      </w:r>
      <w:r w:rsidRPr="00A51A7C">
        <w:rPr>
          <w:rFonts w:cs="Times"/>
          <w:vertAlign w:val="subscript"/>
        </w:rPr>
        <w:t>3</w:t>
      </w:r>
      <w:r w:rsidRPr="00A51A7C">
        <w:rPr>
          <w:rFonts w:cs="Times"/>
        </w:rPr>
        <w:t xml:space="preserve"> with 0.6 M </w:t>
      </w:r>
      <w:proofErr w:type="spellStart"/>
      <w:r w:rsidRPr="00A51A7C">
        <w:rPr>
          <w:rFonts w:cs="Times"/>
        </w:rPr>
        <w:t>HCl</w:t>
      </w:r>
      <w:proofErr w:type="spellEnd"/>
      <w:r w:rsidRPr="00A51A7C">
        <w:rPr>
          <w:rFonts w:cs="Times"/>
        </w:rPr>
        <w:t xml:space="preserve"> was followed by UV-Vis, until no more </w:t>
      </w:r>
      <w:r w:rsidRPr="00A51A7C">
        <w:rPr>
          <w:rFonts w:cs="Times"/>
          <w:vertAlign w:val="superscript"/>
        </w:rPr>
        <w:t>152</w:t>
      </w:r>
      <w:r w:rsidRPr="00A51A7C">
        <w:rPr>
          <w:rFonts w:cs="Times"/>
        </w:rPr>
        <w:t>SmCl</w:t>
      </w:r>
      <w:r w:rsidRPr="00A51A7C">
        <w:rPr>
          <w:rFonts w:cs="Times"/>
          <w:vertAlign w:val="subscript"/>
        </w:rPr>
        <w:t>3</w:t>
      </w:r>
      <w:r w:rsidRPr="00A51A7C">
        <w:rPr>
          <w:rFonts w:cs="Times"/>
        </w:rPr>
        <w:t xml:space="preserve"> was detected in the washings (0.2 </w:t>
      </w:r>
      <w:proofErr w:type="spellStart"/>
      <w:r w:rsidRPr="00A51A7C">
        <w:rPr>
          <w:rFonts w:cs="Times"/>
        </w:rPr>
        <w:t>μm</w:t>
      </w:r>
      <w:proofErr w:type="spellEnd"/>
      <w:r w:rsidRPr="00A51A7C">
        <w:rPr>
          <w:rFonts w:cs="Times"/>
        </w:rPr>
        <w:t xml:space="preserve"> </w:t>
      </w:r>
      <w:proofErr w:type="spellStart"/>
      <w:r w:rsidRPr="00A51A7C">
        <w:rPr>
          <w:rFonts w:cs="Times"/>
        </w:rPr>
        <w:t>Whatman</w:t>
      </w:r>
      <w:proofErr w:type="spellEnd"/>
      <w:r w:rsidRPr="00A51A7C">
        <w:rPr>
          <w:rFonts w:cs="Times"/>
          <w:vertAlign w:val="superscript"/>
        </w:rPr>
        <w:t>®</w:t>
      </w:r>
      <w:r w:rsidRPr="00A51A7C">
        <w:rPr>
          <w:rFonts w:cs="Times"/>
        </w:rPr>
        <w:t xml:space="preserve"> polycarbonate membranes).</w:t>
      </w:r>
      <w:r w:rsidR="00667C01" w:rsidRPr="00A51A7C">
        <w:rPr>
          <w:rFonts w:cs="Times"/>
          <w:noProof/>
          <w:vertAlign w:val="superscript"/>
        </w:rPr>
        <w:t>65</w:t>
      </w:r>
      <w:r w:rsidRPr="00A51A7C">
        <w:rPr>
          <w:rFonts w:cs="Times"/>
        </w:rPr>
        <w:t xml:space="preserve"> </w:t>
      </w:r>
      <w:r w:rsidR="00407C13" w:rsidRPr="00A51A7C">
        <w:rPr>
          <w:rFonts w:cs="Times"/>
        </w:rPr>
        <w:t xml:space="preserve">The length distribution of the resulting </w:t>
      </w:r>
      <w:r w:rsidR="00407C13" w:rsidRPr="00A51A7C">
        <w:rPr>
          <w:rFonts w:cs="Times"/>
          <w:vertAlign w:val="superscript"/>
        </w:rPr>
        <w:t>152</w:t>
      </w:r>
      <w:r w:rsidR="00407C13" w:rsidRPr="00A51A7C">
        <w:rPr>
          <w:rFonts w:cs="Times"/>
        </w:rPr>
        <w:t xml:space="preserve">Sm@SWNT and </w:t>
      </w:r>
      <w:r w:rsidR="00407C13" w:rsidRPr="00A51A7C">
        <w:rPr>
          <w:rFonts w:cs="Times"/>
          <w:vertAlign w:val="superscript"/>
        </w:rPr>
        <w:t>152</w:t>
      </w:r>
      <w:r w:rsidR="00407C13" w:rsidRPr="00A51A7C">
        <w:rPr>
          <w:rFonts w:cs="Times"/>
        </w:rPr>
        <w:t>Sm@MWNT was determined from SEM images, following a previously described methodology,</w:t>
      </w:r>
      <w:r w:rsidR="00667C01" w:rsidRPr="00A51A7C">
        <w:rPr>
          <w:rFonts w:cs="Times"/>
          <w:noProof/>
          <w:vertAlign w:val="superscript"/>
        </w:rPr>
        <w:t>81</w:t>
      </w:r>
      <w:r w:rsidR="00407C13" w:rsidRPr="00A51A7C">
        <w:rPr>
          <w:rFonts w:cs="Times"/>
        </w:rPr>
        <w:t xml:space="preserve"> and the </w:t>
      </w:r>
      <w:r w:rsidR="00A4168A" w:rsidRPr="00A51A7C">
        <w:rPr>
          <w:rFonts w:cs="Times"/>
        </w:rPr>
        <w:t xml:space="preserve">external </w:t>
      </w:r>
      <w:r w:rsidR="00407C13" w:rsidRPr="00A51A7C">
        <w:rPr>
          <w:rFonts w:cs="Times"/>
        </w:rPr>
        <w:t>diameter distribution from TEM images. Two hundred CNTs were measured for each of the analyses (see SI).</w:t>
      </w:r>
    </w:p>
    <w:p w:rsidR="0031077D" w:rsidRPr="00A51A7C" w:rsidRDefault="0031077D" w:rsidP="00407C13">
      <w:pPr>
        <w:spacing w:after="0" w:line="480" w:lineRule="auto"/>
        <w:ind w:firstLine="204"/>
        <w:rPr>
          <w:rFonts w:cs="Times"/>
        </w:rPr>
      </w:pPr>
      <w:r w:rsidRPr="00A51A7C">
        <w:rPr>
          <w:rFonts w:cs="Times"/>
          <w:b/>
        </w:rPr>
        <w:t xml:space="preserve">Neutron activation of </w:t>
      </w:r>
      <w:r w:rsidRPr="00A51A7C">
        <w:rPr>
          <w:rFonts w:cs="Times"/>
          <w:b/>
          <w:vertAlign w:val="superscript"/>
        </w:rPr>
        <w:t>152</w:t>
      </w:r>
      <w:r w:rsidRPr="00A51A7C">
        <w:rPr>
          <w:rFonts w:cs="Times"/>
          <w:b/>
        </w:rPr>
        <w:t>Sm-filled CNTs to achieve ‘hot’ nanocapsules (</w:t>
      </w:r>
      <w:r w:rsidRPr="00A51A7C">
        <w:rPr>
          <w:rFonts w:cs="Times"/>
          <w:b/>
          <w:vertAlign w:val="superscript"/>
        </w:rPr>
        <w:t>153</w:t>
      </w:r>
      <w:r w:rsidRPr="00A51A7C">
        <w:rPr>
          <w:rFonts w:cs="Times"/>
          <w:b/>
        </w:rPr>
        <w:t>Sm@CNT)</w:t>
      </w:r>
      <w:r w:rsidR="00793926" w:rsidRPr="00A51A7C">
        <w:rPr>
          <w:rFonts w:cs="Times"/>
          <w:b/>
        </w:rPr>
        <w:t>.</w:t>
      </w:r>
      <w:r w:rsidRPr="00A51A7C">
        <w:rPr>
          <w:rFonts w:cs="Times"/>
          <w:b/>
        </w:rPr>
        <w:t xml:space="preserve"> </w:t>
      </w:r>
      <w:r w:rsidRPr="00A51A7C">
        <w:rPr>
          <w:rFonts w:cs="Times"/>
        </w:rPr>
        <w:t>The irradiation protocol was established according to equation (1):</w:t>
      </w:r>
      <w:r w:rsidR="00667C01" w:rsidRPr="00A51A7C">
        <w:rPr>
          <w:rFonts w:cs="Times"/>
          <w:noProof/>
          <w:vertAlign w:val="superscript"/>
        </w:rPr>
        <w:t>63</w:t>
      </w:r>
    </w:p>
    <w:p w:rsidR="0031077D" w:rsidRPr="00A51A7C" w:rsidRDefault="00853E1B" w:rsidP="00D658CB">
      <w:pPr>
        <w:spacing w:after="0" w:line="480" w:lineRule="auto"/>
        <w:ind w:firstLine="204"/>
        <w:rPr>
          <w:rFonts w:cs="Times"/>
        </w:rPr>
      </w:pPr>
      <w:r w:rsidRPr="00A51A7C">
        <w:rPr>
          <w:rFonts w:cs="Times"/>
          <w:noProof/>
          <w:lang w:val="es-ES_tradnl" w:eastAsia="es-ES_tradnl"/>
        </w:rPr>
        <w:drawing>
          <wp:anchor distT="0" distB="0" distL="114300" distR="114300" simplePos="0" relativeHeight="251655680" behindDoc="0" locked="0" layoutInCell="1" allowOverlap="1">
            <wp:simplePos x="0" y="0"/>
            <wp:positionH relativeFrom="column">
              <wp:posOffset>129396</wp:posOffset>
            </wp:positionH>
            <wp:positionV relativeFrom="paragraph">
              <wp:posOffset>-3738</wp:posOffset>
            </wp:positionV>
            <wp:extent cx="1397479" cy="457200"/>
            <wp:effectExtent l="0" t="0" r="0" b="0"/>
            <wp:wrapThrough wrapText="bothSides">
              <wp:wrapPolygon edited="0">
                <wp:start x="5007" y="0"/>
                <wp:lineTo x="589" y="7200"/>
                <wp:lineTo x="589" y="11700"/>
                <wp:lineTo x="6185" y="15300"/>
                <wp:lineTo x="6480" y="18000"/>
                <wp:lineTo x="7658" y="18000"/>
                <wp:lineTo x="21207" y="13500"/>
                <wp:lineTo x="21207" y="4500"/>
                <wp:lineTo x="10604" y="0"/>
                <wp:lineTo x="5007" y="0"/>
              </wp:wrapPolygon>
            </wp:wrapThrough>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36004" t="-3702" r="36989" b="5586"/>
                    <a:stretch/>
                  </pic:blipFill>
                  <pic:spPr bwMode="auto">
                    <a:xfrm>
                      <a:off x="0" y="0"/>
                      <a:ext cx="1397479" cy="457200"/>
                    </a:xfrm>
                    <a:prstGeom prst="rect">
                      <a:avLst/>
                    </a:prstGeom>
                    <a:noFill/>
                    <a:ln>
                      <a:noFill/>
                    </a:ln>
                    <a:extLst>
                      <a:ext uri="{53640926-AAD7-44D8-BBD7-CCE9431645EC}">
                        <a14:shadowObscured xmlns:a14="http://schemas.microsoft.com/office/drawing/2010/main"/>
                      </a:ext>
                    </a:extLst>
                  </pic:spPr>
                </pic:pic>
              </a:graphicData>
            </a:graphic>
          </wp:anchor>
        </w:drawing>
      </w:r>
      <w:r w:rsidR="0031077D" w:rsidRPr="00A51A7C">
        <w:rPr>
          <w:rFonts w:cs="Times"/>
        </w:rPr>
        <w:tab/>
      </w:r>
      <w:r w:rsidR="0031077D" w:rsidRPr="00A51A7C">
        <w:rPr>
          <w:rFonts w:cs="Times"/>
        </w:rPr>
        <w:tab/>
        <w:t>(1)</w:t>
      </w:r>
    </w:p>
    <w:p w:rsidR="00853E1B" w:rsidRPr="00A51A7C" w:rsidRDefault="00853E1B" w:rsidP="00D658CB">
      <w:pPr>
        <w:spacing w:after="0" w:line="480" w:lineRule="auto"/>
        <w:ind w:firstLine="204"/>
        <w:rPr>
          <w:rFonts w:cs="Times"/>
        </w:rPr>
      </w:pPr>
    </w:p>
    <w:p w:rsidR="0031077D" w:rsidRPr="00A51A7C" w:rsidRDefault="0031077D" w:rsidP="00D658CB">
      <w:pPr>
        <w:spacing w:after="0" w:line="480" w:lineRule="auto"/>
        <w:ind w:firstLine="204"/>
        <w:rPr>
          <w:rFonts w:cs="Times"/>
        </w:rPr>
      </w:pPr>
      <w:r w:rsidRPr="00A51A7C">
        <w:rPr>
          <w:rFonts w:cs="Times"/>
        </w:rPr>
        <w:lastRenderedPageBreak/>
        <w:t>where A is the predicted activity of the radioisotope produced (</w:t>
      </w:r>
      <w:proofErr w:type="spellStart"/>
      <w:r w:rsidRPr="00A51A7C">
        <w:rPr>
          <w:rFonts w:cs="Times"/>
        </w:rPr>
        <w:t>Bq</w:t>
      </w:r>
      <w:proofErr w:type="spellEnd"/>
      <w:r w:rsidRPr="00A51A7C">
        <w:rPr>
          <w:rFonts w:cs="Times"/>
        </w:rPr>
        <w:t xml:space="preserve"> g</w:t>
      </w:r>
      <w:r w:rsidRPr="00A51A7C">
        <w:rPr>
          <w:rFonts w:cs="Times"/>
          <w:vertAlign w:val="superscript"/>
        </w:rPr>
        <w:t>-1</w:t>
      </w:r>
      <w:r w:rsidRPr="00A51A7C">
        <w:rPr>
          <w:rFonts w:cs="Times"/>
        </w:rPr>
        <w:t>), M is the atomic mass of the target element (152 g mol</w:t>
      </w:r>
      <w:r w:rsidRPr="00A51A7C">
        <w:rPr>
          <w:rFonts w:cs="Times"/>
          <w:vertAlign w:val="superscript"/>
        </w:rPr>
        <w:t>-1</w:t>
      </w:r>
      <w:r w:rsidRPr="00A51A7C">
        <w:rPr>
          <w:rFonts w:cs="Times"/>
        </w:rPr>
        <w:t xml:space="preserve"> for </w:t>
      </w:r>
      <w:r w:rsidRPr="00A51A7C">
        <w:rPr>
          <w:rFonts w:cs="Times"/>
          <w:vertAlign w:val="superscript"/>
        </w:rPr>
        <w:t>152</w:t>
      </w:r>
      <w:r w:rsidRPr="00A51A7C">
        <w:rPr>
          <w:rFonts w:cs="Times"/>
        </w:rPr>
        <w:t xml:space="preserve">Sm), </w:t>
      </w:r>
      <w:r w:rsidR="007D3CE6" w:rsidRPr="00A51A7C">
        <w:rPr>
          <w:rFonts w:cs="Times"/>
        </w:rPr>
        <w:t xml:space="preserve">Φ </w:t>
      </w:r>
      <w:r w:rsidRPr="00A51A7C">
        <w:rPr>
          <w:rFonts w:cs="Times"/>
        </w:rPr>
        <w:t>is the neutron flux of the reactor (1.6x10</w:t>
      </w:r>
      <w:r w:rsidRPr="00A51A7C">
        <w:rPr>
          <w:rFonts w:cs="Times"/>
          <w:vertAlign w:val="superscript"/>
        </w:rPr>
        <w:t>14</w:t>
      </w:r>
      <w:r w:rsidRPr="00A51A7C">
        <w:rPr>
          <w:rFonts w:cs="Times"/>
        </w:rPr>
        <w:t xml:space="preserve"> n cm</w:t>
      </w:r>
      <w:r w:rsidRPr="00A51A7C">
        <w:rPr>
          <w:rFonts w:cs="Times"/>
          <w:vertAlign w:val="superscript"/>
        </w:rPr>
        <w:t>-2</w:t>
      </w:r>
      <w:r w:rsidRPr="00A51A7C">
        <w:rPr>
          <w:rFonts w:cs="Times"/>
        </w:rPr>
        <w:t>s</w:t>
      </w:r>
      <w:r w:rsidRPr="00A51A7C">
        <w:rPr>
          <w:rFonts w:cs="Times"/>
          <w:vertAlign w:val="superscript"/>
        </w:rPr>
        <w:t>-1</w:t>
      </w:r>
      <w:r w:rsidRPr="00A51A7C">
        <w:rPr>
          <w:rFonts w:cs="Times"/>
        </w:rPr>
        <w:t xml:space="preserve">), σ is the thermal neutron activation cross-section of the target isotope (206 barns for </w:t>
      </w:r>
      <w:r w:rsidRPr="00A51A7C">
        <w:rPr>
          <w:rFonts w:cs="Times"/>
          <w:vertAlign w:val="superscript"/>
        </w:rPr>
        <w:t>153</w:t>
      </w:r>
      <w:r w:rsidRPr="00A51A7C">
        <w:rPr>
          <w:rFonts w:cs="Times"/>
        </w:rPr>
        <w:t>Sm), λ is the decay constant (0.693/T</w:t>
      </w:r>
      <w:r w:rsidRPr="00A51A7C">
        <w:rPr>
          <w:rFonts w:cs="Times"/>
          <w:vertAlign w:val="subscript"/>
        </w:rPr>
        <w:t>1/2</w:t>
      </w:r>
      <w:r w:rsidRPr="00A51A7C">
        <w:rPr>
          <w:rFonts w:cs="Times"/>
        </w:rPr>
        <w:t>), (T</w:t>
      </w:r>
      <w:r w:rsidRPr="00A51A7C">
        <w:rPr>
          <w:rFonts w:cs="Times"/>
          <w:vertAlign w:val="subscript"/>
        </w:rPr>
        <w:t>1/2</w:t>
      </w:r>
      <w:r w:rsidRPr="00A51A7C">
        <w:rPr>
          <w:rFonts w:cs="Times"/>
        </w:rPr>
        <w:t xml:space="preserve"> is the </w:t>
      </w:r>
      <w:proofErr w:type="spellStart"/>
      <w:r w:rsidRPr="00A51A7C">
        <w:rPr>
          <w:rFonts w:cs="Times"/>
        </w:rPr>
        <w:t>half life</w:t>
      </w:r>
      <w:proofErr w:type="spellEnd"/>
      <w:r w:rsidRPr="00A51A7C">
        <w:rPr>
          <w:rFonts w:cs="Times"/>
        </w:rPr>
        <w:t xml:space="preserve"> of the target isotope, which is 46.27 h for </w:t>
      </w:r>
      <w:r w:rsidRPr="00A51A7C">
        <w:rPr>
          <w:rFonts w:cs="Times"/>
          <w:vertAlign w:val="superscript"/>
        </w:rPr>
        <w:t>153</w:t>
      </w:r>
      <w:r w:rsidRPr="00A51A7C">
        <w:rPr>
          <w:rFonts w:cs="Times"/>
        </w:rPr>
        <w:t xml:space="preserve">Sm) and </w:t>
      </w:r>
      <w:r w:rsidRPr="00A51A7C">
        <w:rPr>
          <w:rFonts w:cs="Times"/>
          <w:i/>
        </w:rPr>
        <w:t>t</w:t>
      </w:r>
      <w:r w:rsidRPr="00A51A7C">
        <w:rPr>
          <w:rFonts w:cs="Times"/>
        </w:rPr>
        <w:t xml:space="preserve"> is the irradiation time (96 h). Vacuum sealed silica ampoules containing 30 mg of either </w:t>
      </w:r>
      <w:r w:rsidRPr="00A51A7C">
        <w:rPr>
          <w:rFonts w:cs="Times"/>
          <w:vertAlign w:val="superscript"/>
        </w:rPr>
        <w:t>152</w:t>
      </w:r>
      <w:r w:rsidRPr="00A51A7C">
        <w:rPr>
          <w:rFonts w:cs="Times"/>
        </w:rPr>
        <w:t xml:space="preserve">Sm@SWNT or </w:t>
      </w:r>
      <w:r w:rsidRPr="00A51A7C">
        <w:rPr>
          <w:rFonts w:cs="Times"/>
          <w:vertAlign w:val="superscript"/>
        </w:rPr>
        <w:t>152</w:t>
      </w:r>
      <w:r w:rsidRPr="00A51A7C">
        <w:rPr>
          <w:rFonts w:cs="Times"/>
        </w:rPr>
        <w:t>Sm@MWNT were placed in an aluminum capsule and irradiated at a neutron flux of 1.6x10</w:t>
      </w:r>
      <w:r w:rsidRPr="00A51A7C">
        <w:rPr>
          <w:rFonts w:cs="Times"/>
          <w:vertAlign w:val="superscript"/>
        </w:rPr>
        <w:t>14</w:t>
      </w:r>
      <w:r w:rsidRPr="00A51A7C">
        <w:rPr>
          <w:rFonts w:cs="Times"/>
        </w:rPr>
        <w:t xml:space="preserve"> n·cm</w:t>
      </w:r>
      <w:r w:rsidRPr="00A51A7C">
        <w:rPr>
          <w:rFonts w:cs="Times"/>
          <w:vertAlign w:val="superscript"/>
        </w:rPr>
        <w:t>-2</w:t>
      </w:r>
      <w:r w:rsidRPr="00A51A7C">
        <w:rPr>
          <w:rFonts w:cs="Times"/>
        </w:rPr>
        <w:t>·s</w:t>
      </w:r>
      <w:r w:rsidRPr="00A51A7C">
        <w:rPr>
          <w:rFonts w:cs="Times"/>
          <w:vertAlign w:val="superscript"/>
        </w:rPr>
        <w:t>-1</w:t>
      </w:r>
      <w:r w:rsidRPr="00A51A7C">
        <w:rPr>
          <w:rFonts w:cs="Times"/>
        </w:rPr>
        <w:t xml:space="preserve"> for 96 h in a pool-type reactor (OSIRIS, CEA </w:t>
      </w:r>
      <w:proofErr w:type="spellStart"/>
      <w:r w:rsidRPr="00A51A7C">
        <w:rPr>
          <w:rFonts w:cs="Times"/>
        </w:rPr>
        <w:t>Saclay</w:t>
      </w:r>
      <w:proofErr w:type="spellEnd"/>
      <w:r w:rsidRPr="00A51A7C">
        <w:rPr>
          <w:rFonts w:cs="Times"/>
        </w:rPr>
        <w:t xml:space="preserve">, France). </w:t>
      </w:r>
      <w:r w:rsidRPr="00A51A7C">
        <w:rPr>
          <w:rFonts w:cs="Times"/>
          <w:vertAlign w:val="superscript"/>
        </w:rPr>
        <w:t>153</w:t>
      </w:r>
      <w:r w:rsidRPr="00A51A7C">
        <w:rPr>
          <w:rFonts w:cs="Times"/>
        </w:rPr>
        <w:t xml:space="preserve">Sm@SWNT and </w:t>
      </w:r>
      <w:r w:rsidRPr="00A51A7C">
        <w:rPr>
          <w:rFonts w:cs="Times"/>
          <w:vertAlign w:val="superscript"/>
        </w:rPr>
        <w:t>153</w:t>
      </w:r>
      <w:r w:rsidRPr="00A51A7C">
        <w:rPr>
          <w:rFonts w:cs="Times"/>
        </w:rPr>
        <w:t xml:space="preserve">Sm@MWNT powders were separately suspended in a volume of 1% </w:t>
      </w:r>
      <w:proofErr w:type="spellStart"/>
      <w:r w:rsidRPr="00A51A7C">
        <w:rPr>
          <w:rFonts w:cs="Times"/>
        </w:rPr>
        <w:t>Pluronic</w:t>
      </w:r>
      <w:proofErr w:type="spellEnd"/>
      <w:r w:rsidRPr="00A51A7C">
        <w:rPr>
          <w:rFonts w:cs="Times"/>
          <w:vertAlign w:val="superscript"/>
        </w:rPr>
        <w:t>®</w:t>
      </w:r>
      <w:r w:rsidRPr="00A51A7C">
        <w:rPr>
          <w:rFonts w:cs="Times"/>
        </w:rPr>
        <w:t xml:space="preserve"> F-127 saline (0.9 % </w:t>
      </w:r>
      <w:proofErr w:type="spellStart"/>
      <w:r w:rsidRPr="00A51A7C">
        <w:rPr>
          <w:rFonts w:cs="Times"/>
        </w:rPr>
        <w:t>NaCl</w:t>
      </w:r>
      <w:proofErr w:type="spellEnd"/>
      <w:r w:rsidRPr="00A51A7C">
        <w:rPr>
          <w:rFonts w:cs="Times"/>
        </w:rPr>
        <w:t>) solution at 0.5 mg/</w:t>
      </w:r>
      <w:proofErr w:type="spellStart"/>
      <w:r w:rsidRPr="00A51A7C">
        <w:rPr>
          <w:rFonts w:cs="Times"/>
        </w:rPr>
        <w:t>mL.</w:t>
      </w:r>
      <w:proofErr w:type="spellEnd"/>
      <w:r w:rsidRPr="00A51A7C">
        <w:rPr>
          <w:rFonts w:cs="Times"/>
        </w:rPr>
        <w:t xml:space="preserve"> </w:t>
      </w:r>
    </w:p>
    <w:p w:rsidR="0031077D" w:rsidRPr="00A51A7C" w:rsidRDefault="0031077D" w:rsidP="00D658CB">
      <w:pPr>
        <w:spacing w:after="0" w:line="480" w:lineRule="auto"/>
        <w:ind w:firstLine="204"/>
        <w:rPr>
          <w:rFonts w:cs="Times"/>
        </w:rPr>
      </w:pPr>
      <w:r w:rsidRPr="00A51A7C">
        <w:rPr>
          <w:rFonts w:cs="Times"/>
          <w:b/>
        </w:rPr>
        <w:t>Characterization</w:t>
      </w:r>
      <w:r w:rsidR="00793926" w:rsidRPr="00A51A7C">
        <w:rPr>
          <w:rFonts w:cs="Times"/>
          <w:b/>
        </w:rPr>
        <w:t>.</w:t>
      </w:r>
      <w:r w:rsidRPr="00A51A7C">
        <w:rPr>
          <w:rFonts w:cs="Times"/>
          <w:i/>
        </w:rPr>
        <w:t xml:space="preserve"> </w:t>
      </w:r>
      <w:r w:rsidRPr="00A51A7C">
        <w:rPr>
          <w:rFonts w:cs="Times"/>
        </w:rPr>
        <w:t xml:space="preserve">HAADF-STEM images were acquired at 20 kV on an FEI Magellan XHR Scanning Electron Microscope (SEM). HRTEM images were acquired on a FEI </w:t>
      </w:r>
      <w:proofErr w:type="spellStart"/>
      <w:r w:rsidRPr="00A51A7C">
        <w:rPr>
          <w:rFonts w:cs="Times"/>
        </w:rPr>
        <w:t>Tecnai</w:t>
      </w:r>
      <w:proofErr w:type="spellEnd"/>
      <w:r w:rsidRPr="00A51A7C">
        <w:rPr>
          <w:rFonts w:cs="Times"/>
        </w:rPr>
        <w:t xml:space="preserve"> G2 F20 microscope at 200 kV. Samples were dispersed in ethanol and deposited onto lacey carbon Cu grids. </w:t>
      </w:r>
      <w:r w:rsidRPr="00A51A7C">
        <w:rPr>
          <w:rFonts w:cs="Times"/>
          <w:vertAlign w:val="superscript"/>
        </w:rPr>
        <w:t>153</w:t>
      </w:r>
      <w:r w:rsidRPr="00A51A7C">
        <w:rPr>
          <w:rFonts w:cs="Times"/>
        </w:rPr>
        <w:t>Sm@CNT were imaged after the complete decay of radioactivity. EDX was carried out on a FEI Quanta SEM microscope equipped with an EDAX detector at 20 kV.</w:t>
      </w:r>
      <w:r w:rsidR="00F20E49" w:rsidRPr="00A51A7C">
        <w:rPr>
          <w:rFonts w:cs="Times"/>
        </w:rPr>
        <w:t xml:space="preserve"> EDX spectra were acquired on large areas of CNTs (&gt; 50 </w:t>
      </w:r>
      <w:r w:rsidR="00FD0477" w:rsidRPr="00A51A7C">
        <w:rPr>
          <w:rFonts w:cs="Times"/>
        </w:rPr>
        <w:t>µ</w:t>
      </w:r>
      <w:r w:rsidR="00F20E49" w:rsidRPr="00A51A7C">
        <w:rPr>
          <w:rFonts w:cs="Times"/>
        </w:rPr>
        <w:t>m</w:t>
      </w:r>
      <w:r w:rsidR="00F20E49" w:rsidRPr="00A51A7C">
        <w:rPr>
          <w:rFonts w:cs="Times"/>
          <w:vertAlign w:val="superscript"/>
        </w:rPr>
        <w:t>2</w:t>
      </w:r>
      <w:r w:rsidR="00F20E49" w:rsidRPr="00A51A7C">
        <w:rPr>
          <w:rFonts w:cs="Times"/>
        </w:rPr>
        <w:t>) to obtain representative data of the composition of the samples.</w:t>
      </w:r>
      <w:r w:rsidRPr="00A51A7C">
        <w:rPr>
          <w:rFonts w:cs="Times"/>
          <w:vertAlign w:val="superscript"/>
        </w:rPr>
        <w:t xml:space="preserve"> </w:t>
      </w:r>
      <w:r w:rsidRPr="00A51A7C">
        <w:rPr>
          <w:rFonts w:cs="Times"/>
        </w:rPr>
        <w:t xml:space="preserve">ICP-MS analysis was carried out using an ICP-MS with a quadrupole collision cell (PerkinElmer </w:t>
      </w:r>
      <w:proofErr w:type="spellStart"/>
      <w:r w:rsidRPr="00A51A7C">
        <w:rPr>
          <w:rFonts w:cs="Times"/>
        </w:rPr>
        <w:t>Sci</w:t>
      </w:r>
      <w:proofErr w:type="spellEnd"/>
      <w:r w:rsidRPr="00A51A7C">
        <w:rPr>
          <w:rFonts w:cs="Times"/>
        </w:rPr>
        <w:t xml:space="preserve"> EX ELAN</w:t>
      </w:r>
      <w:r w:rsidRPr="00A51A7C">
        <w:rPr>
          <w:rFonts w:cs="Times"/>
          <w:vertAlign w:val="superscript"/>
        </w:rPr>
        <w:t>®</w:t>
      </w:r>
      <w:r w:rsidRPr="00A51A7C">
        <w:rPr>
          <w:rFonts w:cs="Times"/>
        </w:rPr>
        <w:t xml:space="preserve"> DRC II). Samples for ICP-MS were microwave digested (800 W, 40 min) in a 3:1 mixture of </w:t>
      </w:r>
      <w:proofErr w:type="spellStart"/>
      <w:r w:rsidRPr="00A51A7C">
        <w:rPr>
          <w:rFonts w:cs="Times"/>
        </w:rPr>
        <w:t>nitric</w:t>
      </w:r>
      <w:proofErr w:type="gramStart"/>
      <w:r w:rsidRPr="00A51A7C">
        <w:rPr>
          <w:rFonts w:cs="Times"/>
        </w:rPr>
        <w:t>:hydrogen</w:t>
      </w:r>
      <w:proofErr w:type="spellEnd"/>
      <w:proofErr w:type="gramEnd"/>
      <w:r w:rsidRPr="00A51A7C">
        <w:rPr>
          <w:rFonts w:cs="Times"/>
        </w:rPr>
        <w:t xml:space="preserve"> peroxide (</w:t>
      </w:r>
      <w:proofErr w:type="spellStart"/>
      <w:r w:rsidRPr="00A51A7C">
        <w:rPr>
          <w:rFonts w:cs="Times"/>
        </w:rPr>
        <w:t>Suprapur</w:t>
      </w:r>
      <w:proofErr w:type="spellEnd"/>
      <w:r w:rsidRPr="00A51A7C">
        <w:rPr>
          <w:rFonts w:cs="Times"/>
          <w:vertAlign w:val="superscript"/>
        </w:rPr>
        <w:t xml:space="preserve">® </w:t>
      </w:r>
      <w:r w:rsidRPr="00A51A7C">
        <w:rPr>
          <w:rFonts w:cs="Times"/>
        </w:rPr>
        <w:t xml:space="preserve">Merck </w:t>
      </w:r>
      <w:proofErr w:type="spellStart"/>
      <w:r w:rsidRPr="00A51A7C">
        <w:rPr>
          <w:rFonts w:cs="Times"/>
        </w:rPr>
        <w:t>KGaA</w:t>
      </w:r>
      <w:proofErr w:type="spellEnd"/>
      <w:r w:rsidRPr="00A51A7C">
        <w:rPr>
          <w:rFonts w:cs="Times"/>
        </w:rPr>
        <w:t xml:space="preserve">, Germany). For ITLC, aliquots of </w:t>
      </w:r>
      <w:r w:rsidRPr="00A51A7C">
        <w:rPr>
          <w:rFonts w:cs="Times"/>
          <w:vertAlign w:val="superscript"/>
        </w:rPr>
        <w:t>153</w:t>
      </w:r>
      <w:r w:rsidRPr="00A51A7C">
        <w:rPr>
          <w:rFonts w:cs="Times"/>
        </w:rPr>
        <w:t xml:space="preserve">Sm@SWNT and </w:t>
      </w:r>
      <w:r w:rsidRPr="00A51A7C">
        <w:rPr>
          <w:rFonts w:cs="Times"/>
          <w:vertAlign w:val="superscript"/>
        </w:rPr>
        <w:t>153</w:t>
      </w:r>
      <w:r w:rsidRPr="00A51A7C">
        <w:rPr>
          <w:rFonts w:cs="Times"/>
        </w:rPr>
        <w:t>Sm@MWNT were spotted on TLC strips (</w:t>
      </w:r>
      <w:r w:rsidRPr="00A51A7C">
        <w:rPr>
          <w:rFonts w:cs="Times"/>
          <w:bCs/>
        </w:rPr>
        <w:t>Agilent Technologies, UK</w:t>
      </w:r>
      <w:r w:rsidRPr="00A51A7C">
        <w:rPr>
          <w:rFonts w:cs="Times"/>
        </w:rPr>
        <w:t xml:space="preserve">) and then developed in 0.1 M ammonium acetate containing 50 </w:t>
      </w:r>
      <w:proofErr w:type="spellStart"/>
      <w:r w:rsidRPr="00A51A7C">
        <w:rPr>
          <w:rFonts w:cs="Times"/>
        </w:rPr>
        <w:t>mM</w:t>
      </w:r>
      <w:proofErr w:type="spellEnd"/>
      <w:r w:rsidRPr="00A51A7C">
        <w:rPr>
          <w:rFonts w:cs="Times"/>
        </w:rPr>
        <w:t xml:space="preserve"> EDTA as a mobile phase. Strips were allowed to dry and counted quantitatively using a cyclone phosphor detector (Packard Biosciences, UK).</w:t>
      </w:r>
    </w:p>
    <w:p w:rsidR="0031077D" w:rsidRPr="00A51A7C" w:rsidRDefault="0031077D" w:rsidP="00D658CB">
      <w:pPr>
        <w:spacing w:after="0" w:line="480" w:lineRule="auto"/>
        <w:ind w:firstLine="204"/>
        <w:rPr>
          <w:rFonts w:cs="Times"/>
        </w:rPr>
      </w:pPr>
      <w:r w:rsidRPr="00A51A7C">
        <w:rPr>
          <w:rFonts w:cs="Times"/>
          <w:b/>
          <w:i/>
        </w:rPr>
        <w:lastRenderedPageBreak/>
        <w:t xml:space="preserve">In vivo </w:t>
      </w:r>
      <w:r w:rsidRPr="00A51A7C">
        <w:rPr>
          <w:rFonts w:cs="Times"/>
          <w:b/>
        </w:rPr>
        <w:t>studies</w:t>
      </w:r>
      <w:r w:rsidR="00AF19C6" w:rsidRPr="00A51A7C">
        <w:rPr>
          <w:rFonts w:cs="Times"/>
          <w:b/>
        </w:rPr>
        <w:t>.</w:t>
      </w:r>
      <w:r w:rsidRPr="00A51A7C">
        <w:rPr>
          <w:rFonts w:cs="Times"/>
          <w:i/>
        </w:rPr>
        <w:t xml:space="preserve"> </w:t>
      </w:r>
      <w:r w:rsidRPr="00A51A7C">
        <w:rPr>
          <w:rFonts w:cs="Times"/>
        </w:rPr>
        <w:t xml:space="preserve">All </w:t>
      </w:r>
      <w:r w:rsidRPr="00A51A7C">
        <w:rPr>
          <w:rFonts w:cs="Times"/>
          <w:i/>
        </w:rPr>
        <w:t>in vivo</w:t>
      </w:r>
      <w:r w:rsidRPr="00A51A7C">
        <w:rPr>
          <w:rFonts w:cs="Times"/>
        </w:rPr>
        <w:t xml:space="preserve"> experiments were conducted under the authority of project and personal licenses granted by the UK Home Office and the UKCCCR Guidelines (1998). Female C57BL/6 mice aged 6-8 weeks were purchased from Harlan (UK) and used for all </w:t>
      </w:r>
      <w:r w:rsidRPr="00A51A7C">
        <w:rPr>
          <w:rFonts w:cs="Times"/>
          <w:i/>
        </w:rPr>
        <w:t>in vivo</w:t>
      </w:r>
      <w:r w:rsidRPr="00A51A7C">
        <w:rPr>
          <w:rFonts w:cs="Times"/>
        </w:rPr>
        <w:t xml:space="preserve"> studies. Mice were anaesthetized by isoflurane (</w:t>
      </w:r>
      <w:proofErr w:type="spellStart"/>
      <w:r w:rsidRPr="00A51A7C">
        <w:rPr>
          <w:rFonts w:cs="Times"/>
          <w:lang w:bidi="en-US"/>
        </w:rPr>
        <w:t>IsoFlo</w:t>
      </w:r>
      <w:proofErr w:type="spellEnd"/>
      <w:r w:rsidRPr="00A51A7C">
        <w:rPr>
          <w:rFonts w:cs="Times"/>
          <w:lang w:bidi="en-US"/>
        </w:rPr>
        <w:t xml:space="preserve">®, Abbott </w:t>
      </w:r>
      <w:proofErr w:type="spellStart"/>
      <w:r w:rsidRPr="00A51A7C">
        <w:rPr>
          <w:rFonts w:cs="Times"/>
          <w:lang w:bidi="en-US"/>
        </w:rPr>
        <w:t>Laboratorie</w:t>
      </w:r>
      <w:proofErr w:type="spellEnd"/>
      <w:r w:rsidRPr="00A51A7C">
        <w:rPr>
          <w:rFonts w:cs="Times"/>
          <w:lang w:bidi="en-US"/>
        </w:rPr>
        <w:t xml:space="preserve"> Ltd, UK</w:t>
      </w:r>
      <w:r w:rsidRPr="00A51A7C">
        <w:rPr>
          <w:rFonts w:cs="Times"/>
        </w:rPr>
        <w:t xml:space="preserve">) inhalation and injected </w:t>
      </w:r>
      <w:r w:rsidRPr="00A51A7C">
        <w:rPr>
          <w:rFonts w:cs="Times"/>
          <w:i/>
        </w:rPr>
        <w:t>via</w:t>
      </w:r>
      <w:r w:rsidRPr="00A51A7C">
        <w:rPr>
          <w:rFonts w:cs="Times"/>
        </w:rPr>
        <w:t xml:space="preserve"> a tail vein. Each injection dose contained the same amount of CNT (200 µg), and the necessary radioactivity (for imaging, </w:t>
      </w:r>
      <w:proofErr w:type="spellStart"/>
      <w:r w:rsidRPr="00A51A7C">
        <w:rPr>
          <w:rFonts w:cs="Times"/>
        </w:rPr>
        <w:t>biodistribution</w:t>
      </w:r>
      <w:proofErr w:type="spellEnd"/>
      <w:r w:rsidRPr="00A51A7C">
        <w:rPr>
          <w:rFonts w:cs="Times"/>
        </w:rPr>
        <w:t xml:space="preserve"> or therapy studies) was a by dilution of the </w:t>
      </w:r>
      <w:r w:rsidRPr="00A51A7C">
        <w:rPr>
          <w:rFonts w:cs="Times"/>
          <w:vertAlign w:val="superscript"/>
        </w:rPr>
        <w:t>153</w:t>
      </w:r>
      <w:r w:rsidRPr="00A51A7C">
        <w:rPr>
          <w:rFonts w:cs="Times"/>
        </w:rPr>
        <w:t xml:space="preserve">Sm@CNT suspensions with non-irradiated </w:t>
      </w:r>
      <w:r w:rsidRPr="00A51A7C">
        <w:rPr>
          <w:rFonts w:cs="Times"/>
          <w:vertAlign w:val="superscript"/>
        </w:rPr>
        <w:t>152</w:t>
      </w:r>
      <w:r w:rsidRPr="00A51A7C">
        <w:rPr>
          <w:rFonts w:cs="Times"/>
        </w:rPr>
        <w:t xml:space="preserve">Sm@CNT (2 mg/mL in 1% </w:t>
      </w:r>
      <w:proofErr w:type="spellStart"/>
      <w:r w:rsidRPr="00A51A7C">
        <w:rPr>
          <w:rFonts w:cs="Times"/>
        </w:rPr>
        <w:t>Pluronic</w:t>
      </w:r>
      <w:proofErr w:type="spellEnd"/>
      <w:r w:rsidRPr="00A51A7C">
        <w:rPr>
          <w:rFonts w:cs="Times"/>
        </w:rPr>
        <w:t xml:space="preserve">® F-127 saline). Injection suspensions were added with 0.1 M EDTA (one twentieth of the injection volume) to chelate any free </w:t>
      </w:r>
      <w:r w:rsidRPr="00A51A7C">
        <w:rPr>
          <w:rFonts w:cs="Times"/>
          <w:vertAlign w:val="superscript"/>
        </w:rPr>
        <w:t>153</w:t>
      </w:r>
      <w:r w:rsidRPr="00A51A7C">
        <w:rPr>
          <w:rFonts w:cs="Times"/>
        </w:rPr>
        <w:t xml:space="preserve">Sm. For histological examination, collected organs were fixed in 10% neutral buffered formalin. Harvested fixed organs were paraffin-embedded and sectioned for </w:t>
      </w:r>
      <w:proofErr w:type="spellStart"/>
      <w:r w:rsidRPr="00A51A7C">
        <w:rPr>
          <w:rFonts w:cs="Times"/>
        </w:rPr>
        <w:t>haematoxylin</w:t>
      </w:r>
      <w:proofErr w:type="spellEnd"/>
      <w:r w:rsidRPr="00A51A7C">
        <w:rPr>
          <w:rFonts w:cs="Times"/>
        </w:rPr>
        <w:t xml:space="preserve"> and eosin (H&amp;E) or Neutral Red staining according to standard histological protocols at the Royal Veterinary College (UK). All stained sections were </w:t>
      </w:r>
      <w:proofErr w:type="spellStart"/>
      <w:r w:rsidRPr="00A51A7C">
        <w:rPr>
          <w:rFonts w:cs="Times"/>
        </w:rPr>
        <w:t>analysed</w:t>
      </w:r>
      <w:proofErr w:type="spellEnd"/>
      <w:r w:rsidRPr="00A51A7C">
        <w:rPr>
          <w:rFonts w:cs="Times"/>
        </w:rPr>
        <w:t xml:space="preserve"> using a Leica DM 1000 LED Microscope (Leica Microsystems, UK) coupled with a CCD digital camera (</w:t>
      </w:r>
      <w:proofErr w:type="spellStart"/>
      <w:r w:rsidRPr="00A51A7C">
        <w:rPr>
          <w:rFonts w:cs="Times"/>
        </w:rPr>
        <w:t>Qimaging</w:t>
      </w:r>
      <w:proofErr w:type="spellEnd"/>
      <w:r w:rsidRPr="00A51A7C">
        <w:rPr>
          <w:rFonts w:cs="Times"/>
        </w:rPr>
        <w:t>, UK).</w:t>
      </w:r>
    </w:p>
    <w:p w:rsidR="0031077D" w:rsidRPr="00A51A7C" w:rsidRDefault="0031077D" w:rsidP="00D658CB">
      <w:pPr>
        <w:spacing w:after="0" w:line="480" w:lineRule="auto"/>
        <w:ind w:firstLine="204"/>
        <w:rPr>
          <w:rFonts w:cs="Times"/>
        </w:rPr>
      </w:pPr>
      <w:r w:rsidRPr="00A51A7C">
        <w:rPr>
          <w:rFonts w:cs="Times"/>
          <w:b/>
          <w:i/>
        </w:rPr>
        <w:t>In vivo</w:t>
      </w:r>
      <w:r w:rsidRPr="00A51A7C">
        <w:rPr>
          <w:rFonts w:cs="Times"/>
          <w:b/>
        </w:rPr>
        <w:t xml:space="preserve"> imaging, pharmacokinetics and organ </w:t>
      </w:r>
      <w:proofErr w:type="spellStart"/>
      <w:r w:rsidRPr="00A51A7C">
        <w:rPr>
          <w:rFonts w:cs="Times"/>
          <w:b/>
        </w:rPr>
        <w:t>biodistribution</w:t>
      </w:r>
      <w:proofErr w:type="spellEnd"/>
      <w:r w:rsidRPr="00A51A7C">
        <w:rPr>
          <w:rFonts w:cs="Times"/>
          <w:b/>
        </w:rPr>
        <w:t xml:space="preserve"> of </w:t>
      </w:r>
      <w:r w:rsidRPr="00A51A7C">
        <w:rPr>
          <w:rFonts w:cs="Times"/>
          <w:b/>
          <w:vertAlign w:val="superscript"/>
        </w:rPr>
        <w:t>153</w:t>
      </w:r>
      <w:r w:rsidR="00793926" w:rsidRPr="00A51A7C">
        <w:rPr>
          <w:rFonts w:cs="Times"/>
          <w:b/>
        </w:rPr>
        <w:t xml:space="preserve">Sm@CNTs. </w:t>
      </w:r>
      <w:proofErr w:type="spellStart"/>
      <w:r w:rsidRPr="00A51A7C">
        <w:rPr>
          <w:rFonts w:cs="Times"/>
        </w:rPr>
        <w:t>Biodistribution</w:t>
      </w:r>
      <w:proofErr w:type="spellEnd"/>
      <w:r w:rsidRPr="00A51A7C">
        <w:rPr>
          <w:rFonts w:cs="Times"/>
        </w:rPr>
        <w:t xml:space="preserve"> was firstly assessed by 3D whole body SPECT/CT imaging (Nano-SPECT/CT, </w:t>
      </w:r>
      <w:proofErr w:type="spellStart"/>
      <w:r w:rsidRPr="00A51A7C">
        <w:rPr>
          <w:rFonts w:cs="Times"/>
        </w:rPr>
        <w:t>Bioscan</w:t>
      </w:r>
      <w:proofErr w:type="spellEnd"/>
      <w:r w:rsidRPr="00A51A7C">
        <w:rPr>
          <w:rFonts w:cs="Times"/>
        </w:rPr>
        <w:t xml:space="preserve">, USA). SPECT images were taken in 24 projections over 30-40 min using a four-head scanner with 1.4 mm pinhole collimators. CT scans were performed at the end of each SPECT acquisition. Images were reconstructed by MEDISO software (Medical Imaging Systems), and SPECT and CT images were merged using the </w:t>
      </w:r>
      <w:proofErr w:type="spellStart"/>
      <w:r w:rsidRPr="00A51A7C">
        <w:rPr>
          <w:rFonts w:cs="Times"/>
        </w:rPr>
        <w:t>InVivoScope</w:t>
      </w:r>
      <w:r w:rsidRPr="00A51A7C">
        <w:rPr>
          <w:rFonts w:cs="Times"/>
          <w:vertAlign w:val="superscript"/>
        </w:rPr>
        <w:t>TM</w:t>
      </w:r>
      <w:proofErr w:type="spellEnd"/>
      <w:r w:rsidRPr="00A51A7C">
        <w:rPr>
          <w:rFonts w:cs="Times"/>
        </w:rPr>
        <w:t xml:space="preserve"> software (</w:t>
      </w:r>
      <w:proofErr w:type="spellStart"/>
      <w:r w:rsidRPr="00A51A7C">
        <w:rPr>
          <w:rFonts w:cs="Times"/>
        </w:rPr>
        <w:t>Bioscan</w:t>
      </w:r>
      <w:proofErr w:type="spellEnd"/>
      <w:r w:rsidRPr="00A51A7C">
        <w:rPr>
          <w:rFonts w:cs="Times"/>
        </w:rPr>
        <w:t xml:space="preserve">, USA). The radioactivity of tissues, blood, urine or feces was measured by γ-scintigraphy </w:t>
      </w:r>
      <w:r w:rsidRPr="00A51A7C">
        <w:rPr>
          <w:rFonts w:cs="Times"/>
          <w:bCs/>
        </w:rPr>
        <w:t xml:space="preserve">(LKB </w:t>
      </w:r>
      <w:proofErr w:type="spellStart"/>
      <w:r w:rsidRPr="00A51A7C">
        <w:rPr>
          <w:rFonts w:cs="Times"/>
          <w:bCs/>
        </w:rPr>
        <w:t>Wallac</w:t>
      </w:r>
      <w:proofErr w:type="spellEnd"/>
      <w:r w:rsidRPr="00A51A7C">
        <w:rPr>
          <w:rFonts w:cs="Times"/>
          <w:bCs/>
        </w:rPr>
        <w:t xml:space="preserve"> 1282 </w:t>
      </w:r>
      <w:proofErr w:type="spellStart"/>
      <w:r w:rsidRPr="00A51A7C">
        <w:rPr>
          <w:rFonts w:cs="Times"/>
          <w:bCs/>
        </w:rPr>
        <w:t>Compugamma</w:t>
      </w:r>
      <w:proofErr w:type="spellEnd"/>
      <w:r w:rsidRPr="00A51A7C">
        <w:rPr>
          <w:rFonts w:cs="Times"/>
          <w:bCs/>
        </w:rPr>
        <w:t>, PerkinElmer)</w:t>
      </w:r>
      <w:r w:rsidRPr="00A51A7C">
        <w:rPr>
          <w:rFonts w:cs="Times"/>
        </w:rPr>
        <w:t>. Blood (sampled from a tail vein), urine and feces were collected over 24 h. To assess the excretion profiles, animals had free access to water but not food.</w:t>
      </w:r>
    </w:p>
    <w:p w:rsidR="0031077D" w:rsidRPr="00A51A7C" w:rsidRDefault="0031077D" w:rsidP="00D658CB">
      <w:pPr>
        <w:spacing w:after="0" w:line="480" w:lineRule="auto"/>
        <w:ind w:firstLine="204"/>
        <w:rPr>
          <w:rFonts w:cs="Times"/>
          <w:b/>
        </w:rPr>
      </w:pPr>
      <w:r w:rsidRPr="00A51A7C">
        <w:rPr>
          <w:rFonts w:cs="Times"/>
          <w:b/>
          <w:i/>
        </w:rPr>
        <w:lastRenderedPageBreak/>
        <w:t>In vivo</w:t>
      </w:r>
      <w:r w:rsidRPr="00A51A7C">
        <w:rPr>
          <w:rFonts w:cs="Times"/>
          <w:b/>
        </w:rPr>
        <w:t xml:space="preserve"> </w:t>
      </w:r>
      <w:r w:rsidRPr="00A51A7C">
        <w:rPr>
          <w:rFonts w:cs="Times"/>
          <w:b/>
          <w:vertAlign w:val="superscript"/>
        </w:rPr>
        <w:t>153</w:t>
      </w:r>
      <w:r w:rsidRPr="00A51A7C">
        <w:rPr>
          <w:rFonts w:cs="Times"/>
          <w:b/>
        </w:rPr>
        <w:t>Sm@CNT radiotherapy studies on B16F10-Luc lung metastasis tumor model</w:t>
      </w:r>
      <w:r w:rsidR="00793926" w:rsidRPr="00A51A7C">
        <w:rPr>
          <w:rFonts w:cs="Times"/>
          <w:b/>
        </w:rPr>
        <w:t>.</w:t>
      </w:r>
      <w:r w:rsidRPr="00A51A7C">
        <w:rPr>
          <w:rFonts w:cs="Times"/>
          <w:i/>
        </w:rPr>
        <w:t xml:space="preserve"> </w:t>
      </w:r>
      <w:r w:rsidRPr="00A51A7C">
        <w:rPr>
          <w:rFonts w:cs="Times"/>
        </w:rPr>
        <w:t>Mice were injected with 5 x 10</w:t>
      </w:r>
      <w:r w:rsidRPr="00A51A7C">
        <w:rPr>
          <w:rFonts w:cs="Times"/>
          <w:vertAlign w:val="superscript"/>
        </w:rPr>
        <w:t>5</w:t>
      </w:r>
      <w:r w:rsidRPr="00A51A7C">
        <w:rPr>
          <w:rFonts w:cs="Times"/>
        </w:rPr>
        <w:t xml:space="preserve"> B16F10-Luc cells in 0.2 mL of PBS </w:t>
      </w:r>
      <w:r w:rsidRPr="00A51A7C">
        <w:rPr>
          <w:rFonts w:cs="Times"/>
          <w:i/>
        </w:rPr>
        <w:t>via</w:t>
      </w:r>
      <w:r w:rsidRPr="00A51A7C">
        <w:rPr>
          <w:rFonts w:cs="Times"/>
        </w:rPr>
        <w:t xml:space="preserve"> a tail vein to establish pulmonary melanoma metastases. Following tumor inoculation, </w:t>
      </w:r>
      <w:r w:rsidRPr="00A51A7C">
        <w:rPr>
          <w:rFonts w:cs="Times"/>
          <w:i/>
        </w:rPr>
        <w:t>in vivo</w:t>
      </w:r>
      <w:r w:rsidRPr="00A51A7C">
        <w:rPr>
          <w:rFonts w:cs="Times"/>
        </w:rPr>
        <w:t xml:space="preserve"> quantitative bioluminescence imaging was performed on day 7, 10, 13 and 16 to monitor the tumor growth (IVIS Lumina III, Perkin-Elmer, UK). Mice were subcutaneously injected with luciferin (</w:t>
      </w:r>
      <w:r w:rsidRPr="00A51A7C">
        <w:rPr>
          <w:rFonts w:cs="Times"/>
          <w:smallCaps/>
        </w:rPr>
        <w:t>d</w:t>
      </w:r>
      <w:r w:rsidRPr="00A51A7C">
        <w:rPr>
          <w:rFonts w:cs="Times"/>
        </w:rPr>
        <w:t xml:space="preserve">-luciferin potassium salt, Perkin-Elmer, UK) at 150 mg/kg and imaged 10 min after injection. To determine the </w:t>
      </w:r>
      <w:proofErr w:type="spellStart"/>
      <w:r w:rsidRPr="00A51A7C">
        <w:rPr>
          <w:rFonts w:cs="Times"/>
        </w:rPr>
        <w:t>radiotherapeutic</w:t>
      </w:r>
      <w:proofErr w:type="spellEnd"/>
      <w:r w:rsidRPr="00A51A7C">
        <w:rPr>
          <w:rFonts w:cs="Times"/>
        </w:rPr>
        <w:t xml:space="preserve"> action of </w:t>
      </w:r>
      <w:r w:rsidRPr="00A51A7C">
        <w:rPr>
          <w:rFonts w:cs="Times"/>
          <w:vertAlign w:val="superscript"/>
        </w:rPr>
        <w:t>153</w:t>
      </w:r>
      <w:r w:rsidRPr="00A51A7C">
        <w:rPr>
          <w:rFonts w:cs="Times"/>
        </w:rPr>
        <w:t>Sm@CNT, B16F10-Luc tumor bearing C57BL/6 mice were randomly divided into three groups (</w:t>
      </w:r>
      <w:r w:rsidRPr="00A51A7C">
        <w:rPr>
          <w:rFonts w:cs="Times"/>
          <w:i/>
          <w:iCs/>
        </w:rPr>
        <w:t xml:space="preserve">n </w:t>
      </w:r>
      <w:r w:rsidRPr="00A51A7C">
        <w:rPr>
          <w:rFonts w:cs="Times"/>
        </w:rPr>
        <w:t xml:space="preserve">= </w:t>
      </w:r>
      <w:r w:rsidR="001A1654" w:rsidRPr="00A51A7C">
        <w:rPr>
          <w:rFonts w:cs="Times"/>
        </w:rPr>
        <w:t>9-</w:t>
      </w:r>
      <w:r w:rsidRPr="00A51A7C">
        <w:rPr>
          <w:rFonts w:cs="Times"/>
        </w:rPr>
        <w:t xml:space="preserve">10): untreated, </w:t>
      </w:r>
      <w:r w:rsidRPr="00A51A7C">
        <w:rPr>
          <w:rFonts w:cs="Times"/>
          <w:vertAlign w:val="superscript"/>
        </w:rPr>
        <w:t>153</w:t>
      </w:r>
      <w:r w:rsidRPr="00A51A7C">
        <w:rPr>
          <w:rFonts w:cs="Times"/>
        </w:rPr>
        <w:t xml:space="preserve">Sm@SWNT and </w:t>
      </w:r>
      <w:r w:rsidRPr="00A51A7C">
        <w:rPr>
          <w:rFonts w:cs="Times"/>
          <w:vertAlign w:val="superscript"/>
        </w:rPr>
        <w:t>153</w:t>
      </w:r>
      <w:r w:rsidRPr="00A51A7C">
        <w:rPr>
          <w:rFonts w:cs="Times"/>
        </w:rPr>
        <w:t xml:space="preserve">Sm@MWNT. On day 8 post tumor inoculation, mice were injected with </w:t>
      </w:r>
      <w:r w:rsidRPr="00A51A7C">
        <w:rPr>
          <w:rFonts w:cs="Times"/>
          <w:vertAlign w:val="superscript"/>
        </w:rPr>
        <w:t>153</w:t>
      </w:r>
      <w:r w:rsidRPr="00A51A7C">
        <w:rPr>
          <w:rFonts w:cs="Times"/>
        </w:rPr>
        <w:t>Sm@CNT (</w:t>
      </w:r>
      <w:r w:rsidRPr="00A51A7C">
        <w:rPr>
          <w:rFonts w:cs="Times"/>
          <w:i/>
        </w:rPr>
        <w:t>ca.</w:t>
      </w:r>
      <w:r w:rsidRPr="00A51A7C">
        <w:rPr>
          <w:rFonts w:cs="Times"/>
        </w:rPr>
        <w:t xml:space="preserve"> 20 </w:t>
      </w:r>
      <w:proofErr w:type="spellStart"/>
      <w:r w:rsidRPr="00A51A7C">
        <w:rPr>
          <w:rFonts w:cs="Times"/>
        </w:rPr>
        <w:t>MBq</w:t>
      </w:r>
      <w:proofErr w:type="spellEnd"/>
      <w:r w:rsidRPr="00A51A7C">
        <w:rPr>
          <w:rFonts w:cs="Times"/>
        </w:rPr>
        <w:t xml:space="preserve">). Mice were sacrificed on day 16 post tumor inoculation, and major organs were collected. Tumor growth was monitored by bioluminescence imaging. The tumor growth data was expressed as mean ± SEM (standard error of the mean), with </w:t>
      </w:r>
      <w:r w:rsidRPr="00A51A7C">
        <w:rPr>
          <w:rFonts w:cs="Times"/>
          <w:i/>
          <w:iCs/>
        </w:rPr>
        <w:t xml:space="preserve">n </w:t>
      </w:r>
      <w:r w:rsidRPr="00A51A7C">
        <w:rPr>
          <w:rFonts w:cs="Times"/>
        </w:rPr>
        <w:t xml:space="preserve">denoting the number of animals. </w:t>
      </w:r>
    </w:p>
    <w:p w:rsidR="0095785B" w:rsidRPr="00A51A7C" w:rsidRDefault="00793926" w:rsidP="00D658CB">
      <w:pPr>
        <w:spacing w:after="0" w:line="480" w:lineRule="auto"/>
        <w:ind w:firstLine="204"/>
        <w:rPr>
          <w:rFonts w:cs="Times"/>
        </w:rPr>
      </w:pPr>
      <w:r w:rsidRPr="00A51A7C">
        <w:rPr>
          <w:rFonts w:cs="Times"/>
          <w:b/>
        </w:rPr>
        <w:t>Dosimetry simulation.</w:t>
      </w:r>
      <w:r w:rsidR="0031077D" w:rsidRPr="00A51A7C">
        <w:rPr>
          <w:rFonts w:cs="Times"/>
          <w:b/>
        </w:rPr>
        <w:t xml:space="preserve"> </w:t>
      </w:r>
      <w:r w:rsidR="0095785B" w:rsidRPr="00A51A7C">
        <w:rPr>
          <w:rFonts w:cs="Times"/>
        </w:rPr>
        <w:t>For targeted radionuclide therapy, the surviving fraction (SF) of the tumor cell population over time</w:t>
      </w:r>
      <w:proofErr w:type="gramStart"/>
      <w:r w:rsidR="0095785B" w:rsidRPr="00A51A7C">
        <w:rPr>
          <w:rFonts w:cs="Times"/>
        </w:rPr>
        <w:t xml:space="preserve">, </w:t>
      </w:r>
      <w:proofErr w:type="gramEnd"/>
      <w:r w:rsidR="0095785B" w:rsidRPr="00A51A7C">
        <w:rPr>
          <w:rFonts w:cs="Times"/>
          <w:noProof/>
          <w:position w:val="-10"/>
          <w:lang w:val="es-ES_tradnl" w:eastAsia="es-ES_tradnl"/>
        </w:rPr>
        <w:drawing>
          <wp:inline distT="0" distB="0" distL="0" distR="0">
            <wp:extent cx="393700" cy="185420"/>
            <wp:effectExtent l="0" t="0" r="1270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93700" cy="185420"/>
                    </a:xfrm>
                    <a:prstGeom prst="rect">
                      <a:avLst/>
                    </a:prstGeom>
                    <a:noFill/>
                    <a:ln>
                      <a:noFill/>
                    </a:ln>
                  </pic:spPr>
                </pic:pic>
              </a:graphicData>
            </a:graphic>
          </wp:inline>
        </w:drawing>
      </w:r>
      <w:r w:rsidR="0095785B" w:rsidRPr="00A51A7C">
        <w:rPr>
          <w:rFonts w:cs="Times"/>
        </w:rPr>
        <w:t>, can be described by equation (2).</w:t>
      </w:r>
      <w:r w:rsidR="00667C01" w:rsidRPr="00A51A7C">
        <w:rPr>
          <w:rFonts w:cs="Times"/>
          <w:noProof/>
          <w:vertAlign w:val="superscript"/>
        </w:rPr>
        <w:t>82</w:t>
      </w:r>
      <w:r w:rsidR="0095785B" w:rsidRPr="00A51A7C">
        <w:rPr>
          <w:rFonts w:cs="Times"/>
        </w:rPr>
        <w:t xml:space="preserve"> </w:t>
      </w:r>
    </w:p>
    <w:p w:rsidR="0095785B" w:rsidRPr="00A51A7C" w:rsidRDefault="0095785B" w:rsidP="00D658CB">
      <w:pPr>
        <w:spacing w:after="0" w:line="480" w:lineRule="auto"/>
        <w:rPr>
          <w:rFonts w:cs="Times"/>
        </w:rPr>
      </w:pPr>
      <w:r w:rsidRPr="00A51A7C">
        <w:rPr>
          <w:rFonts w:cs="Times"/>
          <w:noProof/>
          <w:position w:val="-34"/>
          <w:lang w:val="es-ES_tradnl" w:eastAsia="es-ES_tradnl"/>
        </w:rPr>
        <w:drawing>
          <wp:inline distT="0" distB="0" distL="0" distR="0">
            <wp:extent cx="3136900" cy="520700"/>
            <wp:effectExtent l="0" t="0" r="12700" b="12700"/>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36900" cy="520700"/>
                    </a:xfrm>
                    <a:prstGeom prst="rect">
                      <a:avLst/>
                    </a:prstGeom>
                    <a:noFill/>
                    <a:ln>
                      <a:noFill/>
                    </a:ln>
                  </pic:spPr>
                </pic:pic>
              </a:graphicData>
            </a:graphic>
          </wp:inline>
        </w:drawing>
      </w:r>
      <w:r w:rsidRPr="00A51A7C">
        <w:rPr>
          <w:rFonts w:cs="Times"/>
        </w:rPr>
        <w:tab/>
      </w:r>
      <w:r w:rsidRPr="00A51A7C">
        <w:rPr>
          <w:rFonts w:cs="Times"/>
        </w:rPr>
        <w:tab/>
      </w:r>
      <w:r w:rsidRPr="00A51A7C">
        <w:rPr>
          <w:rFonts w:cs="Times"/>
        </w:rPr>
        <w:tab/>
      </w:r>
      <w:r w:rsidRPr="00A51A7C">
        <w:rPr>
          <w:rFonts w:cs="Times"/>
        </w:rPr>
        <w:tab/>
        <w:t>(2)</w:t>
      </w:r>
    </w:p>
    <w:p w:rsidR="0095785B" w:rsidRPr="00A51A7C" w:rsidRDefault="0095785B" w:rsidP="00D658CB">
      <w:pPr>
        <w:spacing w:after="0" w:line="480" w:lineRule="auto"/>
        <w:rPr>
          <w:rFonts w:cs="Times"/>
        </w:rPr>
      </w:pPr>
      <w:r w:rsidRPr="00A51A7C">
        <w:rPr>
          <w:rFonts w:cs="Times"/>
        </w:rPr>
        <w:t xml:space="preserve">where </w:t>
      </w:r>
      <w:r w:rsidRPr="00A51A7C">
        <w:rPr>
          <w:rFonts w:cs="Times"/>
          <w:noProof/>
          <w:position w:val="-6"/>
          <w:lang w:val="es-ES_tradnl" w:eastAsia="es-ES_tradnl"/>
        </w:rPr>
        <w:drawing>
          <wp:inline distT="0" distB="0" distL="0" distR="0">
            <wp:extent cx="115570" cy="115570"/>
            <wp:effectExtent l="0" t="0" r="11430" b="11430"/>
            <wp:docPr id="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5570" cy="115570"/>
                    </a:xfrm>
                    <a:prstGeom prst="rect">
                      <a:avLst/>
                    </a:prstGeom>
                    <a:noFill/>
                    <a:ln>
                      <a:noFill/>
                    </a:ln>
                  </pic:spPr>
                </pic:pic>
              </a:graphicData>
            </a:graphic>
          </wp:inline>
        </w:drawing>
      </w:r>
      <w:r w:rsidRPr="00A51A7C">
        <w:rPr>
          <w:rFonts w:cs="Times"/>
        </w:rPr>
        <w:t xml:space="preserve"> is the </w:t>
      </w:r>
      <w:proofErr w:type="spellStart"/>
      <w:r w:rsidRPr="00A51A7C">
        <w:rPr>
          <w:rFonts w:cs="Times"/>
        </w:rPr>
        <w:t>radiosensitivity</w:t>
      </w:r>
      <w:proofErr w:type="spellEnd"/>
      <w:r w:rsidRPr="00A51A7C">
        <w:rPr>
          <w:rFonts w:cs="Times"/>
        </w:rPr>
        <w:t xml:space="preserve"> parameter (Gy</w:t>
      </w:r>
      <w:r w:rsidRPr="00A51A7C">
        <w:rPr>
          <w:rFonts w:cs="Times"/>
          <w:vertAlign w:val="superscript"/>
        </w:rPr>
        <w:t>-1</w:t>
      </w:r>
      <w:r w:rsidRPr="00A51A7C">
        <w:rPr>
          <w:rFonts w:cs="Times"/>
        </w:rPr>
        <w:t xml:space="preserve">), </w:t>
      </w:r>
      <w:r w:rsidRPr="00A51A7C">
        <w:rPr>
          <w:rFonts w:cs="Times"/>
          <w:noProof/>
          <w:position w:val="-12"/>
          <w:lang w:val="es-ES_tradnl" w:eastAsia="es-ES_tradnl"/>
        </w:rPr>
        <w:drawing>
          <wp:inline distT="0" distB="0" distL="0" distR="0">
            <wp:extent cx="115570" cy="219710"/>
            <wp:effectExtent l="0" t="0" r="11430" b="8890"/>
            <wp:docPr id="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5570" cy="219710"/>
                    </a:xfrm>
                    <a:prstGeom prst="rect">
                      <a:avLst/>
                    </a:prstGeom>
                    <a:noFill/>
                    <a:ln>
                      <a:noFill/>
                    </a:ln>
                  </pic:spPr>
                </pic:pic>
              </a:graphicData>
            </a:graphic>
          </wp:inline>
        </w:drawing>
      </w:r>
      <w:r w:rsidRPr="00A51A7C">
        <w:rPr>
          <w:rFonts w:cs="Times"/>
        </w:rPr>
        <w:t xml:space="preserve"> is the extrapolated initial dose rate (</w:t>
      </w:r>
      <w:proofErr w:type="spellStart"/>
      <w:r w:rsidRPr="00A51A7C">
        <w:rPr>
          <w:rFonts w:cs="Times"/>
        </w:rPr>
        <w:t>Gy</w:t>
      </w:r>
      <w:proofErr w:type="spellEnd"/>
      <w:r w:rsidRPr="00A51A7C">
        <w:rPr>
          <w:rFonts w:cs="Times"/>
        </w:rPr>
        <w:t xml:space="preserve"> h</w:t>
      </w:r>
      <w:r w:rsidRPr="00A51A7C">
        <w:rPr>
          <w:rFonts w:cs="Times"/>
          <w:vertAlign w:val="superscript"/>
        </w:rPr>
        <w:t>-1</w:t>
      </w:r>
      <w:r w:rsidRPr="00A51A7C">
        <w:rPr>
          <w:rFonts w:cs="Times"/>
        </w:rPr>
        <w:t xml:space="preserve">), </w:t>
      </w:r>
      <w:r w:rsidRPr="00A51A7C">
        <w:rPr>
          <w:rFonts w:cs="Times"/>
          <w:noProof/>
          <w:position w:val="-6"/>
          <w:lang w:val="es-ES_tradnl" w:eastAsia="es-ES_tradnl"/>
        </w:rPr>
        <w:drawing>
          <wp:inline distT="0" distB="0" distL="0" distR="0">
            <wp:extent cx="150495" cy="115570"/>
            <wp:effectExtent l="0" t="0" r="1905" b="11430"/>
            <wp:docPr id="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0495" cy="115570"/>
                    </a:xfrm>
                    <a:prstGeom prst="rect">
                      <a:avLst/>
                    </a:prstGeom>
                    <a:noFill/>
                    <a:ln>
                      <a:noFill/>
                    </a:ln>
                  </pic:spPr>
                </pic:pic>
              </a:graphicData>
            </a:graphic>
          </wp:inline>
        </w:drawing>
      </w:r>
      <w:r w:rsidRPr="00A51A7C">
        <w:rPr>
          <w:rFonts w:cs="Times"/>
        </w:rPr>
        <w:t xml:space="preserve"> is the radionuclide effective uptake rate (h</w:t>
      </w:r>
      <w:r w:rsidRPr="00A51A7C">
        <w:rPr>
          <w:rFonts w:cs="Times"/>
          <w:vertAlign w:val="superscript"/>
        </w:rPr>
        <w:t>-1</w:t>
      </w:r>
      <w:r w:rsidRPr="00A51A7C">
        <w:rPr>
          <w:rFonts w:cs="Times"/>
        </w:rPr>
        <w:t xml:space="preserve">), </w:t>
      </w:r>
      <w:r w:rsidRPr="00A51A7C">
        <w:rPr>
          <w:rFonts w:cs="Times"/>
          <w:noProof/>
          <w:position w:val="-6"/>
          <w:lang w:val="es-ES_tradnl" w:eastAsia="es-ES_tradnl"/>
        </w:rPr>
        <w:drawing>
          <wp:inline distT="0" distB="0" distL="0" distR="0">
            <wp:extent cx="115570" cy="185420"/>
            <wp:effectExtent l="0" t="0" r="11430" b="0"/>
            <wp:docPr id="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5570" cy="185420"/>
                    </a:xfrm>
                    <a:prstGeom prst="rect">
                      <a:avLst/>
                    </a:prstGeom>
                    <a:noFill/>
                    <a:ln>
                      <a:noFill/>
                    </a:ln>
                  </pic:spPr>
                </pic:pic>
              </a:graphicData>
            </a:graphic>
          </wp:inline>
        </w:drawing>
      </w:r>
      <w:r w:rsidRPr="00A51A7C">
        <w:rPr>
          <w:rFonts w:cs="Times"/>
        </w:rPr>
        <w:t xml:space="preserve"> is the radionuclide effective washout rate (h</w:t>
      </w:r>
      <w:r w:rsidRPr="00A51A7C">
        <w:rPr>
          <w:rFonts w:cs="Times"/>
          <w:vertAlign w:val="superscript"/>
        </w:rPr>
        <w:t>-1</w:t>
      </w:r>
      <w:r w:rsidRPr="00A51A7C">
        <w:rPr>
          <w:rFonts w:cs="Times"/>
        </w:rPr>
        <w:t xml:space="preserve">) and </w:t>
      </w:r>
      <w:r w:rsidRPr="00A51A7C">
        <w:rPr>
          <w:rFonts w:cs="Times"/>
          <w:noProof/>
          <w:position w:val="-6"/>
          <w:lang w:val="es-ES_tradnl" w:eastAsia="es-ES_tradnl"/>
        </w:rPr>
        <w:drawing>
          <wp:inline distT="0" distB="0" distL="0" distR="0">
            <wp:extent cx="115570" cy="185420"/>
            <wp:effectExtent l="0" t="0" r="11430" b="0"/>
            <wp:docPr id="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5570" cy="185420"/>
                    </a:xfrm>
                    <a:prstGeom prst="rect">
                      <a:avLst/>
                    </a:prstGeom>
                    <a:noFill/>
                    <a:ln>
                      <a:noFill/>
                    </a:ln>
                  </pic:spPr>
                </pic:pic>
              </a:graphicData>
            </a:graphic>
          </wp:inline>
        </w:drawing>
      </w:r>
      <w:r w:rsidRPr="00A51A7C">
        <w:rPr>
          <w:rFonts w:cs="Times"/>
        </w:rPr>
        <w:t xml:space="preserve"> is the tumor cell proliferation rate (h</w:t>
      </w:r>
      <w:r w:rsidRPr="00A51A7C">
        <w:rPr>
          <w:rFonts w:cs="Times"/>
          <w:vertAlign w:val="superscript"/>
        </w:rPr>
        <w:t>-1</w:t>
      </w:r>
      <w:r w:rsidRPr="00A51A7C">
        <w:rPr>
          <w:rFonts w:cs="Times"/>
        </w:rPr>
        <w:t xml:space="preserve">). The effective rates of uptake and washout of the radionuclide account for both biological and physical processes and they are defined through </w:t>
      </w:r>
      <w:r w:rsidRPr="00A51A7C">
        <w:rPr>
          <w:rFonts w:cs="Times"/>
          <w:noProof/>
          <w:position w:val="-16"/>
          <w:lang w:val="es-ES_tradnl" w:eastAsia="es-ES_tradnl"/>
        </w:rPr>
        <w:drawing>
          <wp:inline distT="0" distB="0" distL="0" distR="0">
            <wp:extent cx="868045" cy="243205"/>
            <wp:effectExtent l="0" t="0" r="0" b="10795"/>
            <wp:docPr id="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68045" cy="243205"/>
                    </a:xfrm>
                    <a:prstGeom prst="rect">
                      <a:avLst/>
                    </a:prstGeom>
                    <a:noFill/>
                    <a:ln>
                      <a:noFill/>
                    </a:ln>
                  </pic:spPr>
                </pic:pic>
              </a:graphicData>
            </a:graphic>
          </wp:inline>
        </w:drawing>
      </w:r>
      <w:r w:rsidRPr="00A51A7C">
        <w:rPr>
          <w:rFonts w:cs="Times"/>
        </w:rPr>
        <w:t xml:space="preserve"> </w:t>
      </w:r>
      <w:proofErr w:type="gramStart"/>
      <w:r w:rsidRPr="00A51A7C">
        <w:rPr>
          <w:rFonts w:cs="Times"/>
        </w:rPr>
        <w:t xml:space="preserve">and </w:t>
      </w:r>
      <w:proofErr w:type="gramEnd"/>
      <w:r w:rsidRPr="00A51A7C">
        <w:rPr>
          <w:rFonts w:cs="Times"/>
          <w:noProof/>
          <w:position w:val="-18"/>
          <w:lang w:val="es-ES_tradnl" w:eastAsia="es-ES_tradnl"/>
        </w:rPr>
        <w:drawing>
          <wp:inline distT="0" distB="0" distL="0" distR="0">
            <wp:extent cx="868045" cy="289560"/>
            <wp:effectExtent l="0" t="0" r="0" b="0"/>
            <wp:docPr id="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68045" cy="289560"/>
                    </a:xfrm>
                    <a:prstGeom prst="rect">
                      <a:avLst/>
                    </a:prstGeom>
                    <a:noFill/>
                    <a:ln>
                      <a:noFill/>
                    </a:ln>
                  </pic:spPr>
                </pic:pic>
              </a:graphicData>
            </a:graphic>
          </wp:inline>
        </w:drawing>
      </w:r>
      <w:r w:rsidRPr="00A51A7C">
        <w:rPr>
          <w:rFonts w:cs="Times"/>
        </w:rPr>
        <w:t xml:space="preserve">, respectively, where </w:t>
      </w:r>
      <w:r w:rsidRPr="00A51A7C">
        <w:rPr>
          <w:rFonts w:cs="Times"/>
          <w:noProof/>
          <w:position w:val="-12"/>
          <w:lang w:val="es-ES_tradnl" w:eastAsia="es-ES_tradnl"/>
        </w:rPr>
        <w:drawing>
          <wp:inline distT="0" distB="0" distL="0" distR="0">
            <wp:extent cx="150495" cy="219710"/>
            <wp:effectExtent l="0" t="0" r="1905" b="8890"/>
            <wp:docPr id="8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0495" cy="219710"/>
                    </a:xfrm>
                    <a:prstGeom prst="rect">
                      <a:avLst/>
                    </a:prstGeom>
                    <a:noFill/>
                    <a:ln>
                      <a:noFill/>
                    </a:ln>
                  </pic:spPr>
                </pic:pic>
              </a:graphicData>
            </a:graphic>
          </wp:inline>
        </w:drawing>
      </w:r>
      <w:r w:rsidRPr="00A51A7C">
        <w:rPr>
          <w:rFonts w:cs="Times"/>
        </w:rPr>
        <w:t xml:space="preserve"> is the biological uptake half-life, </w:t>
      </w:r>
      <w:r w:rsidRPr="00A51A7C">
        <w:rPr>
          <w:rFonts w:cs="Times"/>
          <w:noProof/>
          <w:position w:val="-12"/>
          <w:lang w:val="es-ES_tradnl" w:eastAsia="es-ES_tradnl"/>
        </w:rPr>
        <w:drawing>
          <wp:inline distT="0" distB="0" distL="0" distR="0">
            <wp:extent cx="185420" cy="219710"/>
            <wp:effectExtent l="0" t="0" r="0" b="8890"/>
            <wp:docPr id="8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5420" cy="219710"/>
                    </a:xfrm>
                    <a:prstGeom prst="rect">
                      <a:avLst/>
                    </a:prstGeom>
                    <a:noFill/>
                    <a:ln>
                      <a:noFill/>
                    </a:ln>
                  </pic:spPr>
                </pic:pic>
              </a:graphicData>
            </a:graphic>
          </wp:inline>
        </w:drawing>
      </w:r>
      <w:r w:rsidRPr="00A51A7C">
        <w:rPr>
          <w:rFonts w:cs="Times"/>
        </w:rPr>
        <w:t xml:space="preserve"> is the biological washout half-life, and </w:t>
      </w:r>
      <w:r w:rsidRPr="00A51A7C">
        <w:rPr>
          <w:rFonts w:cs="Times"/>
          <w:noProof/>
          <w:position w:val="-14"/>
          <w:lang w:val="es-ES_tradnl" w:eastAsia="es-ES_tradnl"/>
        </w:rPr>
        <w:drawing>
          <wp:inline distT="0" distB="0" distL="0" distR="0">
            <wp:extent cx="185420" cy="243205"/>
            <wp:effectExtent l="0" t="0" r="0" b="10795"/>
            <wp:docPr id="8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5420" cy="243205"/>
                    </a:xfrm>
                    <a:prstGeom prst="rect">
                      <a:avLst/>
                    </a:prstGeom>
                    <a:noFill/>
                    <a:ln>
                      <a:noFill/>
                    </a:ln>
                  </pic:spPr>
                </pic:pic>
              </a:graphicData>
            </a:graphic>
          </wp:inline>
        </w:drawing>
      </w:r>
      <w:r w:rsidRPr="00A51A7C">
        <w:rPr>
          <w:rFonts w:cs="Times"/>
        </w:rPr>
        <w:t xml:space="preserve"> is the physical half-life of the radionuclide. The values of </w:t>
      </w:r>
      <w:r w:rsidRPr="00A51A7C">
        <w:rPr>
          <w:rFonts w:cs="Times"/>
          <w:noProof/>
          <w:position w:val="-6"/>
          <w:lang w:val="es-ES_tradnl" w:eastAsia="es-ES_tradnl"/>
        </w:rPr>
        <w:lastRenderedPageBreak/>
        <w:drawing>
          <wp:inline distT="0" distB="0" distL="0" distR="0">
            <wp:extent cx="150495" cy="115570"/>
            <wp:effectExtent l="0" t="0" r="1905" b="11430"/>
            <wp:docPr id="8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0495" cy="115570"/>
                    </a:xfrm>
                    <a:prstGeom prst="rect">
                      <a:avLst/>
                    </a:prstGeom>
                    <a:noFill/>
                    <a:ln>
                      <a:noFill/>
                    </a:ln>
                  </pic:spPr>
                </pic:pic>
              </a:graphicData>
            </a:graphic>
          </wp:inline>
        </w:drawing>
      </w:r>
      <w:r w:rsidRPr="00A51A7C">
        <w:rPr>
          <w:rFonts w:cs="Times"/>
        </w:rPr>
        <w:t xml:space="preserve"> and </w:t>
      </w:r>
      <w:r w:rsidRPr="00A51A7C">
        <w:rPr>
          <w:rFonts w:cs="Times"/>
          <w:noProof/>
          <w:position w:val="-6"/>
          <w:lang w:val="es-ES_tradnl" w:eastAsia="es-ES_tradnl"/>
        </w:rPr>
        <w:drawing>
          <wp:inline distT="0" distB="0" distL="0" distR="0">
            <wp:extent cx="115570" cy="185420"/>
            <wp:effectExtent l="0" t="0" r="11430" b="0"/>
            <wp:docPr id="8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5570" cy="185420"/>
                    </a:xfrm>
                    <a:prstGeom prst="rect">
                      <a:avLst/>
                    </a:prstGeom>
                    <a:noFill/>
                    <a:ln>
                      <a:noFill/>
                    </a:ln>
                  </pic:spPr>
                </pic:pic>
              </a:graphicData>
            </a:graphic>
          </wp:inline>
        </w:drawing>
      </w:r>
      <w:r w:rsidRPr="00A51A7C">
        <w:rPr>
          <w:rFonts w:cs="Times"/>
        </w:rPr>
        <w:t xml:space="preserve"> were obtained from a fit of the experimental tumor </w:t>
      </w:r>
      <w:proofErr w:type="spellStart"/>
      <w:r w:rsidRPr="00A51A7C">
        <w:rPr>
          <w:rFonts w:cs="Times"/>
        </w:rPr>
        <w:t>biodistribution</w:t>
      </w:r>
      <w:proofErr w:type="spellEnd"/>
      <w:r w:rsidRPr="00A51A7C">
        <w:rPr>
          <w:rFonts w:cs="Times"/>
        </w:rPr>
        <w:t xml:space="preserve"> data for the percentage injected dose (% ID) using equation (3):</w:t>
      </w:r>
    </w:p>
    <w:p w:rsidR="0095785B" w:rsidRPr="00A51A7C" w:rsidRDefault="0095785B" w:rsidP="00D658CB">
      <w:pPr>
        <w:spacing w:after="0" w:line="480" w:lineRule="auto"/>
        <w:rPr>
          <w:rFonts w:cs="Times"/>
        </w:rPr>
      </w:pPr>
      <w:r w:rsidRPr="00A51A7C">
        <w:rPr>
          <w:rFonts w:cs="Times"/>
          <w:noProof/>
          <w:position w:val="-12"/>
          <w:lang w:val="es-ES_tradnl" w:eastAsia="es-ES_tradnl"/>
        </w:rPr>
        <w:drawing>
          <wp:inline distT="0" distB="0" distL="0" distR="0">
            <wp:extent cx="1481455" cy="243205"/>
            <wp:effectExtent l="0" t="0" r="0" b="10795"/>
            <wp:docPr id="8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81455" cy="243205"/>
                    </a:xfrm>
                    <a:prstGeom prst="rect">
                      <a:avLst/>
                    </a:prstGeom>
                    <a:noFill/>
                    <a:ln>
                      <a:noFill/>
                    </a:ln>
                  </pic:spPr>
                </pic:pic>
              </a:graphicData>
            </a:graphic>
          </wp:inline>
        </w:drawing>
      </w:r>
      <w:r w:rsidRPr="00A51A7C">
        <w:rPr>
          <w:rFonts w:cs="Times"/>
        </w:rPr>
        <w:tab/>
      </w:r>
      <w:r w:rsidRPr="00A51A7C">
        <w:rPr>
          <w:rFonts w:cs="Times"/>
        </w:rPr>
        <w:tab/>
      </w:r>
      <w:r w:rsidRPr="00A51A7C">
        <w:rPr>
          <w:rFonts w:cs="Times"/>
        </w:rPr>
        <w:tab/>
      </w:r>
      <w:r w:rsidRPr="00A51A7C">
        <w:rPr>
          <w:rFonts w:cs="Times"/>
        </w:rPr>
        <w:tab/>
      </w:r>
      <w:r w:rsidRPr="00A51A7C">
        <w:rPr>
          <w:rFonts w:cs="Times"/>
        </w:rPr>
        <w:tab/>
        <w:t>(3)</w:t>
      </w:r>
    </w:p>
    <w:p w:rsidR="0095785B" w:rsidRPr="00A51A7C" w:rsidRDefault="0095785B" w:rsidP="00D658CB">
      <w:pPr>
        <w:spacing w:after="0" w:line="480" w:lineRule="auto"/>
        <w:rPr>
          <w:rFonts w:cs="Times"/>
        </w:rPr>
      </w:pPr>
      <w:proofErr w:type="gramStart"/>
      <w:r w:rsidRPr="00A51A7C">
        <w:rPr>
          <w:rFonts w:cs="Times"/>
        </w:rPr>
        <w:t>where</w:t>
      </w:r>
      <w:proofErr w:type="gramEnd"/>
      <w:r w:rsidRPr="00A51A7C">
        <w:rPr>
          <w:rFonts w:cs="Times"/>
        </w:rPr>
        <w:t xml:space="preserve"> </w:t>
      </w:r>
      <w:r w:rsidRPr="00A51A7C">
        <w:rPr>
          <w:rFonts w:cs="Times"/>
          <w:noProof/>
          <w:position w:val="-12"/>
          <w:lang w:val="es-ES_tradnl" w:eastAsia="es-ES_tradnl"/>
        </w:rPr>
        <w:drawing>
          <wp:inline distT="0" distB="0" distL="0" distR="0">
            <wp:extent cx="243205" cy="219710"/>
            <wp:effectExtent l="0" t="0" r="10795" b="8890"/>
            <wp:docPr id="8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3205" cy="219710"/>
                    </a:xfrm>
                    <a:prstGeom prst="rect">
                      <a:avLst/>
                    </a:prstGeom>
                    <a:noFill/>
                    <a:ln>
                      <a:noFill/>
                    </a:ln>
                  </pic:spPr>
                </pic:pic>
              </a:graphicData>
            </a:graphic>
          </wp:inline>
        </w:drawing>
      </w:r>
      <w:r w:rsidRPr="00A51A7C">
        <w:rPr>
          <w:rFonts w:cs="Times"/>
        </w:rPr>
        <w:t xml:space="preserve"> is the extrapolated % ID in the tumor at time </w:t>
      </w:r>
      <w:r w:rsidRPr="00A51A7C">
        <w:rPr>
          <w:rFonts w:cs="Times"/>
          <w:noProof/>
          <w:position w:val="-6"/>
          <w:lang w:val="es-ES_tradnl" w:eastAsia="es-ES_tradnl"/>
        </w:rPr>
        <w:drawing>
          <wp:inline distT="0" distB="0" distL="0" distR="0">
            <wp:extent cx="347345" cy="185420"/>
            <wp:effectExtent l="0" t="0" r="8255" b="0"/>
            <wp:docPr id="9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47345" cy="185420"/>
                    </a:xfrm>
                    <a:prstGeom prst="rect">
                      <a:avLst/>
                    </a:prstGeom>
                    <a:noFill/>
                    <a:ln>
                      <a:noFill/>
                    </a:ln>
                  </pic:spPr>
                </pic:pic>
              </a:graphicData>
            </a:graphic>
          </wp:inline>
        </w:drawing>
      </w:r>
      <w:r w:rsidRPr="00A51A7C">
        <w:rPr>
          <w:rFonts w:cs="Times"/>
        </w:rPr>
        <w:t xml:space="preserve">. Note that the physical half-life of </w:t>
      </w:r>
      <w:r w:rsidRPr="00A51A7C">
        <w:rPr>
          <w:rFonts w:cs="Times"/>
          <w:vertAlign w:val="superscript"/>
        </w:rPr>
        <w:t>153</w:t>
      </w:r>
      <w:r w:rsidRPr="00A51A7C">
        <w:rPr>
          <w:rFonts w:cs="Times"/>
        </w:rPr>
        <w:t>Sm (</w:t>
      </w:r>
      <w:r w:rsidRPr="00A51A7C">
        <w:rPr>
          <w:rFonts w:cs="Times"/>
          <w:noProof/>
          <w:position w:val="-14"/>
          <w:lang w:val="es-ES_tradnl" w:eastAsia="es-ES_tradnl"/>
        </w:rPr>
        <w:drawing>
          <wp:inline distT="0" distB="0" distL="0" distR="0">
            <wp:extent cx="728980" cy="243205"/>
            <wp:effectExtent l="0" t="0" r="7620" b="10795"/>
            <wp:docPr id="9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28980" cy="243205"/>
                    </a:xfrm>
                    <a:prstGeom prst="rect">
                      <a:avLst/>
                    </a:prstGeom>
                    <a:noFill/>
                    <a:ln>
                      <a:noFill/>
                    </a:ln>
                  </pic:spPr>
                </pic:pic>
              </a:graphicData>
            </a:graphic>
          </wp:inline>
        </w:drawing>
      </w:r>
      <w:r w:rsidRPr="00A51A7C">
        <w:rPr>
          <w:rFonts w:cs="Times"/>
        </w:rPr>
        <w:t xml:space="preserve">) sets a lower limit to the values of </w:t>
      </w:r>
      <w:r w:rsidRPr="00A51A7C">
        <w:rPr>
          <w:rFonts w:cs="Times"/>
          <w:noProof/>
          <w:position w:val="-6"/>
          <w:lang w:val="es-ES_tradnl" w:eastAsia="es-ES_tradnl"/>
        </w:rPr>
        <w:drawing>
          <wp:inline distT="0" distB="0" distL="0" distR="0">
            <wp:extent cx="150495" cy="115570"/>
            <wp:effectExtent l="0" t="0" r="1905" b="11430"/>
            <wp:docPr id="9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0495" cy="115570"/>
                    </a:xfrm>
                    <a:prstGeom prst="rect">
                      <a:avLst/>
                    </a:prstGeom>
                    <a:noFill/>
                    <a:ln>
                      <a:noFill/>
                    </a:ln>
                  </pic:spPr>
                </pic:pic>
              </a:graphicData>
            </a:graphic>
          </wp:inline>
        </w:drawing>
      </w:r>
      <w:r w:rsidRPr="00A51A7C">
        <w:rPr>
          <w:rFonts w:cs="Times"/>
        </w:rPr>
        <w:t xml:space="preserve"> and </w:t>
      </w:r>
      <w:r w:rsidRPr="00A51A7C">
        <w:rPr>
          <w:rFonts w:cs="Times"/>
          <w:noProof/>
          <w:position w:val="-6"/>
          <w:lang w:val="es-ES_tradnl" w:eastAsia="es-ES_tradnl"/>
        </w:rPr>
        <w:drawing>
          <wp:inline distT="0" distB="0" distL="0" distR="0">
            <wp:extent cx="115570" cy="185420"/>
            <wp:effectExtent l="0" t="0" r="11430" b="0"/>
            <wp:docPr id="9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15570" cy="185420"/>
                    </a:xfrm>
                    <a:prstGeom prst="rect">
                      <a:avLst/>
                    </a:prstGeom>
                    <a:noFill/>
                    <a:ln>
                      <a:noFill/>
                    </a:ln>
                  </pic:spPr>
                </pic:pic>
              </a:graphicData>
            </a:graphic>
          </wp:inline>
        </w:drawing>
      </w:r>
      <w:r w:rsidRPr="00A51A7C">
        <w:rPr>
          <w:rFonts w:cs="Times"/>
        </w:rPr>
        <w:t xml:space="preserve"> which should be larger </w:t>
      </w:r>
      <w:proofErr w:type="gramStart"/>
      <w:r w:rsidRPr="00A51A7C">
        <w:rPr>
          <w:rFonts w:cs="Times"/>
        </w:rPr>
        <w:t xml:space="preserve">than </w:t>
      </w:r>
      <w:proofErr w:type="gramEnd"/>
      <w:r w:rsidRPr="00A51A7C">
        <w:rPr>
          <w:rFonts w:cs="Times"/>
          <w:noProof/>
          <w:position w:val="-18"/>
          <w:lang w:val="es-ES_tradnl" w:eastAsia="es-ES_tradnl"/>
        </w:rPr>
        <w:drawing>
          <wp:inline distT="0" distB="0" distL="0" distR="0">
            <wp:extent cx="243205" cy="289560"/>
            <wp:effectExtent l="0" t="0" r="10795" b="0"/>
            <wp:docPr id="9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3205" cy="289560"/>
                    </a:xfrm>
                    <a:prstGeom prst="rect">
                      <a:avLst/>
                    </a:prstGeom>
                    <a:noFill/>
                    <a:ln>
                      <a:noFill/>
                    </a:ln>
                  </pic:spPr>
                </pic:pic>
              </a:graphicData>
            </a:graphic>
          </wp:inline>
        </w:drawing>
      </w:r>
      <w:r w:rsidRPr="00A51A7C">
        <w:rPr>
          <w:rFonts w:cs="Times"/>
        </w:rPr>
        <w:t xml:space="preserve">. The least square fits </w:t>
      </w:r>
      <w:proofErr w:type="gramStart"/>
      <w:r w:rsidRPr="00A51A7C">
        <w:rPr>
          <w:rFonts w:cs="Times"/>
        </w:rPr>
        <w:t xml:space="preserve">yielded </w:t>
      </w:r>
      <w:proofErr w:type="gramEnd"/>
      <w:r w:rsidRPr="00A51A7C">
        <w:rPr>
          <w:rFonts w:cs="Times"/>
          <w:noProof/>
          <w:position w:val="-12"/>
          <w:lang w:val="es-ES_tradnl" w:eastAsia="es-ES_tradnl"/>
        </w:rPr>
        <w:drawing>
          <wp:inline distT="0" distB="0" distL="0" distR="0">
            <wp:extent cx="868045" cy="219710"/>
            <wp:effectExtent l="0" t="0" r="0" b="8890"/>
            <wp:docPr id="9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68045" cy="219710"/>
                    </a:xfrm>
                    <a:prstGeom prst="rect">
                      <a:avLst/>
                    </a:prstGeom>
                    <a:noFill/>
                    <a:ln>
                      <a:noFill/>
                    </a:ln>
                  </pic:spPr>
                </pic:pic>
              </a:graphicData>
            </a:graphic>
          </wp:inline>
        </w:drawing>
      </w:r>
      <w:r w:rsidRPr="00A51A7C">
        <w:rPr>
          <w:rFonts w:cs="Times"/>
        </w:rPr>
        <w:t xml:space="preserve">, </w:t>
      </w:r>
      <w:r w:rsidRPr="00A51A7C">
        <w:rPr>
          <w:rFonts w:cs="Times"/>
          <w:noProof/>
          <w:position w:val="-10"/>
          <w:lang w:val="es-ES_tradnl" w:eastAsia="es-ES_tradnl"/>
        </w:rPr>
        <w:drawing>
          <wp:inline distT="0" distB="0" distL="0" distR="0">
            <wp:extent cx="914400" cy="219710"/>
            <wp:effectExtent l="0" t="0" r="0" b="8890"/>
            <wp:docPr id="9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14400" cy="219710"/>
                    </a:xfrm>
                    <a:prstGeom prst="rect">
                      <a:avLst/>
                    </a:prstGeom>
                    <a:noFill/>
                    <a:ln>
                      <a:noFill/>
                    </a:ln>
                  </pic:spPr>
                </pic:pic>
              </a:graphicData>
            </a:graphic>
          </wp:inline>
        </w:drawing>
      </w:r>
      <w:r w:rsidRPr="00A51A7C">
        <w:rPr>
          <w:rFonts w:cs="Times"/>
        </w:rPr>
        <w:t xml:space="preserve">, </w:t>
      </w:r>
      <w:r w:rsidRPr="00A51A7C">
        <w:rPr>
          <w:rFonts w:cs="Times"/>
          <w:noProof/>
          <w:position w:val="-10"/>
          <w:lang w:val="es-ES_tradnl" w:eastAsia="es-ES_tradnl"/>
        </w:rPr>
        <w:drawing>
          <wp:inline distT="0" distB="0" distL="0" distR="0">
            <wp:extent cx="786765" cy="219710"/>
            <wp:effectExtent l="0" t="0" r="635" b="8890"/>
            <wp:docPr id="9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86765" cy="219710"/>
                    </a:xfrm>
                    <a:prstGeom prst="rect">
                      <a:avLst/>
                    </a:prstGeom>
                    <a:noFill/>
                    <a:ln>
                      <a:noFill/>
                    </a:ln>
                  </pic:spPr>
                </pic:pic>
              </a:graphicData>
            </a:graphic>
          </wp:inline>
        </w:drawing>
      </w:r>
      <w:r w:rsidRPr="00A51A7C">
        <w:rPr>
          <w:rFonts w:cs="Times"/>
        </w:rPr>
        <w:t xml:space="preserve"> for SWNTs, and </w:t>
      </w:r>
      <w:r w:rsidRPr="00A51A7C">
        <w:rPr>
          <w:rFonts w:cs="Times"/>
          <w:noProof/>
          <w:position w:val="-12"/>
          <w:lang w:val="es-ES_tradnl" w:eastAsia="es-ES_tradnl"/>
        </w:rPr>
        <w:drawing>
          <wp:inline distT="0" distB="0" distL="0" distR="0">
            <wp:extent cx="868045" cy="219710"/>
            <wp:effectExtent l="0" t="0" r="0" b="8890"/>
            <wp:docPr id="9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68045" cy="219710"/>
                    </a:xfrm>
                    <a:prstGeom prst="rect">
                      <a:avLst/>
                    </a:prstGeom>
                    <a:noFill/>
                    <a:ln>
                      <a:noFill/>
                    </a:ln>
                  </pic:spPr>
                </pic:pic>
              </a:graphicData>
            </a:graphic>
          </wp:inline>
        </w:drawing>
      </w:r>
      <w:r w:rsidRPr="00A51A7C">
        <w:rPr>
          <w:rFonts w:cs="Times"/>
        </w:rPr>
        <w:t xml:space="preserve">, </w:t>
      </w:r>
      <w:r w:rsidRPr="00A51A7C">
        <w:rPr>
          <w:rFonts w:cs="Times"/>
          <w:noProof/>
          <w:position w:val="-10"/>
          <w:lang w:val="es-ES_tradnl" w:eastAsia="es-ES_tradnl"/>
        </w:rPr>
        <w:drawing>
          <wp:inline distT="0" distB="0" distL="0" distR="0">
            <wp:extent cx="914400" cy="219710"/>
            <wp:effectExtent l="0" t="0" r="0" b="8890"/>
            <wp:docPr id="9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14400" cy="219710"/>
                    </a:xfrm>
                    <a:prstGeom prst="rect">
                      <a:avLst/>
                    </a:prstGeom>
                    <a:noFill/>
                    <a:ln>
                      <a:noFill/>
                    </a:ln>
                  </pic:spPr>
                </pic:pic>
              </a:graphicData>
            </a:graphic>
          </wp:inline>
        </w:drawing>
      </w:r>
      <w:r w:rsidRPr="00A51A7C">
        <w:rPr>
          <w:rFonts w:cs="Times"/>
        </w:rPr>
        <w:t xml:space="preserve">, </w:t>
      </w:r>
      <w:r w:rsidRPr="00A51A7C">
        <w:rPr>
          <w:rFonts w:cs="Times"/>
          <w:noProof/>
          <w:position w:val="-10"/>
          <w:lang w:val="es-ES_tradnl" w:eastAsia="es-ES_tradnl"/>
        </w:rPr>
        <w:drawing>
          <wp:inline distT="0" distB="0" distL="0" distR="0">
            <wp:extent cx="868045" cy="219710"/>
            <wp:effectExtent l="0" t="0" r="0" b="8890"/>
            <wp:docPr id="10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68045" cy="219710"/>
                    </a:xfrm>
                    <a:prstGeom prst="rect">
                      <a:avLst/>
                    </a:prstGeom>
                    <a:noFill/>
                    <a:ln>
                      <a:noFill/>
                    </a:ln>
                  </pic:spPr>
                </pic:pic>
              </a:graphicData>
            </a:graphic>
          </wp:inline>
        </w:drawing>
      </w:r>
      <w:r w:rsidRPr="00A51A7C">
        <w:rPr>
          <w:rFonts w:cs="Times"/>
        </w:rPr>
        <w:t xml:space="preserve"> for MWNTs (Figure S</w:t>
      </w:r>
      <w:r w:rsidR="009844D8" w:rsidRPr="00A51A7C">
        <w:rPr>
          <w:rFonts w:cs="Times"/>
        </w:rPr>
        <w:t>10</w:t>
      </w:r>
      <w:r w:rsidRPr="00A51A7C">
        <w:rPr>
          <w:rFonts w:cs="Times"/>
        </w:rPr>
        <w:t>).</w:t>
      </w:r>
    </w:p>
    <w:p w:rsidR="0095785B" w:rsidRPr="00A51A7C" w:rsidRDefault="0095785B" w:rsidP="00D658CB">
      <w:pPr>
        <w:spacing w:after="0" w:line="480" w:lineRule="auto"/>
        <w:rPr>
          <w:rFonts w:cs="Times"/>
        </w:rPr>
      </w:pPr>
      <w:r w:rsidRPr="00A51A7C">
        <w:rPr>
          <w:rFonts w:cs="Times"/>
        </w:rPr>
        <w:t>To obtain the rate constant for tumor cell proliferation (</w:t>
      </w:r>
      <w:r w:rsidRPr="00A51A7C">
        <w:rPr>
          <w:rFonts w:cs="Times"/>
          <w:noProof/>
          <w:position w:val="-6"/>
          <w:lang w:val="es-ES_tradnl" w:eastAsia="es-ES_tradnl"/>
        </w:rPr>
        <w:drawing>
          <wp:inline distT="0" distB="0" distL="0" distR="0">
            <wp:extent cx="115570" cy="185420"/>
            <wp:effectExtent l="0" t="0" r="11430" b="0"/>
            <wp:docPr id="10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5570" cy="185420"/>
                    </a:xfrm>
                    <a:prstGeom prst="rect">
                      <a:avLst/>
                    </a:prstGeom>
                    <a:noFill/>
                    <a:ln>
                      <a:noFill/>
                    </a:ln>
                  </pic:spPr>
                </pic:pic>
              </a:graphicData>
            </a:graphic>
          </wp:inline>
        </w:drawing>
      </w:r>
      <w:r w:rsidRPr="00A51A7C">
        <w:rPr>
          <w:rFonts w:cs="Times"/>
        </w:rPr>
        <w:t>), we assume (following standard practice) that all tumor cells in the population are proliferating. The experimental tumor growth data of the non-irradiated group of mice are fitted in equation (4):</w:t>
      </w:r>
    </w:p>
    <w:p w:rsidR="0095785B" w:rsidRPr="00A51A7C" w:rsidRDefault="0095785B" w:rsidP="00D658CB">
      <w:pPr>
        <w:spacing w:after="0" w:line="480" w:lineRule="auto"/>
        <w:rPr>
          <w:rFonts w:cs="Times"/>
        </w:rPr>
      </w:pPr>
      <w:r w:rsidRPr="00A51A7C">
        <w:rPr>
          <w:rFonts w:cs="Times"/>
          <w:noProof/>
          <w:position w:val="-12"/>
          <w:lang w:val="es-ES_tradnl" w:eastAsia="es-ES_tradnl"/>
        </w:rPr>
        <w:drawing>
          <wp:inline distT="0" distB="0" distL="0" distR="0">
            <wp:extent cx="868045" cy="243205"/>
            <wp:effectExtent l="0" t="0" r="0" b="10795"/>
            <wp:docPr id="10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68045" cy="243205"/>
                    </a:xfrm>
                    <a:prstGeom prst="rect">
                      <a:avLst/>
                    </a:prstGeom>
                    <a:noFill/>
                    <a:ln>
                      <a:noFill/>
                    </a:ln>
                  </pic:spPr>
                </pic:pic>
              </a:graphicData>
            </a:graphic>
          </wp:inline>
        </w:drawing>
      </w:r>
      <w:r w:rsidRPr="00A51A7C">
        <w:rPr>
          <w:rFonts w:cs="Times"/>
        </w:rPr>
        <w:t>,</w:t>
      </w:r>
      <w:r w:rsidRPr="00A51A7C">
        <w:rPr>
          <w:rFonts w:cs="Times"/>
        </w:rPr>
        <w:tab/>
      </w:r>
      <w:r w:rsidRPr="00A51A7C">
        <w:rPr>
          <w:rFonts w:cs="Times"/>
        </w:rPr>
        <w:tab/>
      </w:r>
      <w:r w:rsidRPr="00A51A7C">
        <w:rPr>
          <w:rFonts w:cs="Times"/>
        </w:rPr>
        <w:tab/>
      </w:r>
      <w:r w:rsidRPr="00A51A7C">
        <w:rPr>
          <w:rFonts w:cs="Times"/>
        </w:rPr>
        <w:tab/>
      </w:r>
      <w:r w:rsidRPr="00A51A7C">
        <w:rPr>
          <w:rFonts w:cs="Times"/>
        </w:rPr>
        <w:tab/>
      </w:r>
      <w:r w:rsidRPr="00A51A7C">
        <w:rPr>
          <w:rFonts w:cs="Times"/>
        </w:rPr>
        <w:tab/>
      </w:r>
      <w:r w:rsidRPr="00A51A7C">
        <w:rPr>
          <w:rFonts w:cs="Times"/>
        </w:rPr>
        <w:tab/>
        <w:t>(4)</w:t>
      </w:r>
    </w:p>
    <w:p w:rsidR="0095785B" w:rsidRPr="00A51A7C" w:rsidRDefault="0095785B" w:rsidP="00D658CB">
      <w:pPr>
        <w:spacing w:after="0" w:line="480" w:lineRule="auto"/>
        <w:rPr>
          <w:rFonts w:cs="Times"/>
        </w:rPr>
      </w:pPr>
      <w:proofErr w:type="gramStart"/>
      <w:r w:rsidRPr="00A51A7C">
        <w:rPr>
          <w:rFonts w:cs="Times"/>
        </w:rPr>
        <w:t>where</w:t>
      </w:r>
      <w:proofErr w:type="gramEnd"/>
      <w:r w:rsidRPr="00A51A7C">
        <w:rPr>
          <w:rFonts w:cs="Times"/>
        </w:rPr>
        <w:t xml:space="preserve"> </w:t>
      </w:r>
      <w:r w:rsidRPr="00A51A7C">
        <w:rPr>
          <w:rFonts w:cs="Times"/>
          <w:noProof/>
          <w:position w:val="-12"/>
          <w:lang w:val="es-ES_tradnl" w:eastAsia="es-ES_tradnl"/>
        </w:rPr>
        <w:drawing>
          <wp:inline distT="0" distB="0" distL="0" distR="0">
            <wp:extent cx="219710" cy="219710"/>
            <wp:effectExtent l="0" t="0" r="8890" b="8890"/>
            <wp:docPr id="10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9710" cy="219710"/>
                    </a:xfrm>
                    <a:prstGeom prst="rect">
                      <a:avLst/>
                    </a:prstGeom>
                    <a:noFill/>
                    <a:ln>
                      <a:noFill/>
                    </a:ln>
                  </pic:spPr>
                </pic:pic>
              </a:graphicData>
            </a:graphic>
          </wp:inline>
        </w:drawing>
      </w:r>
      <w:r w:rsidRPr="00A51A7C">
        <w:rPr>
          <w:rFonts w:cs="Times"/>
        </w:rPr>
        <w:t xml:space="preserve"> is the number of tumor cells at </w:t>
      </w:r>
      <w:r w:rsidRPr="00A51A7C">
        <w:rPr>
          <w:rFonts w:cs="Times"/>
          <w:noProof/>
          <w:position w:val="-6"/>
          <w:lang w:val="es-ES_tradnl" w:eastAsia="es-ES_tradnl"/>
        </w:rPr>
        <w:drawing>
          <wp:inline distT="0" distB="0" distL="0" distR="0">
            <wp:extent cx="347345" cy="185420"/>
            <wp:effectExtent l="0" t="0" r="8255" b="0"/>
            <wp:docPr id="10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47345" cy="185420"/>
                    </a:xfrm>
                    <a:prstGeom prst="rect">
                      <a:avLst/>
                    </a:prstGeom>
                    <a:noFill/>
                    <a:ln>
                      <a:noFill/>
                    </a:ln>
                  </pic:spPr>
                </pic:pic>
              </a:graphicData>
            </a:graphic>
          </wp:inline>
        </w:drawing>
      </w:r>
      <w:r w:rsidRPr="00A51A7C">
        <w:rPr>
          <w:rFonts w:cs="Times"/>
        </w:rPr>
        <w:t xml:space="preserve">. The rate constant </w:t>
      </w:r>
      <w:r w:rsidRPr="00A51A7C">
        <w:rPr>
          <w:rFonts w:cs="Times"/>
          <w:noProof/>
          <w:position w:val="-6"/>
          <w:lang w:val="es-ES_tradnl" w:eastAsia="es-ES_tradnl"/>
        </w:rPr>
        <w:drawing>
          <wp:inline distT="0" distB="0" distL="0" distR="0">
            <wp:extent cx="115570" cy="185420"/>
            <wp:effectExtent l="0" t="0" r="11430" b="0"/>
            <wp:docPr id="10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5570" cy="185420"/>
                    </a:xfrm>
                    <a:prstGeom prst="rect">
                      <a:avLst/>
                    </a:prstGeom>
                    <a:noFill/>
                    <a:ln>
                      <a:noFill/>
                    </a:ln>
                  </pic:spPr>
                </pic:pic>
              </a:graphicData>
            </a:graphic>
          </wp:inline>
        </w:drawing>
      </w:r>
      <w:r w:rsidRPr="00A51A7C">
        <w:rPr>
          <w:rFonts w:cs="Times"/>
        </w:rPr>
        <w:t xml:space="preserve"> in equation (4) is normally expressed as </w:t>
      </w:r>
      <w:r w:rsidRPr="00A51A7C">
        <w:rPr>
          <w:rFonts w:cs="Times"/>
          <w:noProof/>
          <w:position w:val="-16"/>
          <w:lang w:val="es-ES_tradnl" w:eastAsia="es-ES_tradnl"/>
        </w:rPr>
        <w:drawing>
          <wp:inline distT="0" distB="0" distL="0" distR="0">
            <wp:extent cx="520700" cy="289560"/>
            <wp:effectExtent l="0" t="0" r="12700" b="0"/>
            <wp:docPr id="10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0700" cy="289560"/>
                    </a:xfrm>
                    <a:prstGeom prst="rect">
                      <a:avLst/>
                    </a:prstGeom>
                    <a:noFill/>
                    <a:ln>
                      <a:noFill/>
                    </a:ln>
                  </pic:spPr>
                </pic:pic>
              </a:graphicData>
            </a:graphic>
          </wp:inline>
        </w:drawing>
      </w:r>
      <w:r w:rsidRPr="00A51A7C">
        <w:rPr>
          <w:rFonts w:cs="Times"/>
        </w:rPr>
        <w:t xml:space="preserve"> with </w:t>
      </w:r>
      <w:r w:rsidRPr="00A51A7C">
        <w:rPr>
          <w:rFonts w:cs="Times"/>
          <w:noProof/>
          <w:position w:val="-12"/>
          <w:lang w:val="es-ES_tradnl" w:eastAsia="es-ES_tradnl"/>
        </w:rPr>
        <w:drawing>
          <wp:inline distT="0" distB="0" distL="0" distR="0">
            <wp:extent cx="185420" cy="219710"/>
            <wp:effectExtent l="0" t="0" r="0" b="8890"/>
            <wp:docPr id="10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5420" cy="219710"/>
                    </a:xfrm>
                    <a:prstGeom prst="rect">
                      <a:avLst/>
                    </a:prstGeom>
                    <a:noFill/>
                    <a:ln>
                      <a:noFill/>
                    </a:ln>
                  </pic:spPr>
                </pic:pic>
              </a:graphicData>
            </a:graphic>
          </wp:inline>
        </w:drawing>
      </w:r>
      <w:r w:rsidRPr="00A51A7C">
        <w:rPr>
          <w:rFonts w:cs="Times"/>
        </w:rPr>
        <w:t xml:space="preserve"> being the tumor doubling time. Fit of the experimental data by equation (4) yields </w:t>
      </w:r>
      <w:r w:rsidRPr="00A51A7C">
        <w:rPr>
          <w:rFonts w:cs="Times"/>
          <w:noProof/>
          <w:position w:val="-12"/>
          <w:lang w:val="es-ES_tradnl" w:eastAsia="es-ES_tradnl"/>
        </w:rPr>
        <w:drawing>
          <wp:inline distT="0" distB="0" distL="0" distR="0">
            <wp:extent cx="786765" cy="219710"/>
            <wp:effectExtent l="0" t="0" r="635" b="8890"/>
            <wp:docPr id="10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786765" cy="219710"/>
                    </a:xfrm>
                    <a:prstGeom prst="rect">
                      <a:avLst/>
                    </a:prstGeom>
                    <a:noFill/>
                    <a:ln>
                      <a:noFill/>
                    </a:ln>
                  </pic:spPr>
                </pic:pic>
              </a:graphicData>
            </a:graphic>
          </wp:inline>
        </w:drawing>
      </w:r>
      <w:r w:rsidRPr="00A51A7C">
        <w:rPr>
          <w:rFonts w:cs="Times"/>
        </w:rPr>
        <w:t xml:space="preserve"> (see Figure 7a). </w:t>
      </w:r>
    </w:p>
    <w:p w:rsidR="0095785B" w:rsidRPr="00A51A7C" w:rsidRDefault="0095785B" w:rsidP="00D658CB">
      <w:pPr>
        <w:spacing w:after="0" w:line="480" w:lineRule="auto"/>
        <w:rPr>
          <w:rFonts w:cs="Times"/>
        </w:rPr>
      </w:pPr>
      <w:r w:rsidRPr="00A51A7C">
        <w:rPr>
          <w:rFonts w:cs="Times"/>
        </w:rPr>
        <w:t>The extrapolated initial dose rate in the tumor</w:t>
      </w:r>
      <w:proofErr w:type="gramStart"/>
      <w:r w:rsidRPr="00A51A7C">
        <w:rPr>
          <w:rFonts w:cs="Times"/>
        </w:rPr>
        <w:t xml:space="preserve">, </w:t>
      </w:r>
      <w:proofErr w:type="gramEnd"/>
      <w:r w:rsidRPr="00A51A7C">
        <w:rPr>
          <w:rFonts w:cs="Times"/>
          <w:noProof/>
          <w:position w:val="-12"/>
          <w:lang w:val="es-ES_tradnl" w:eastAsia="es-ES_tradnl"/>
        </w:rPr>
        <w:drawing>
          <wp:inline distT="0" distB="0" distL="0" distR="0">
            <wp:extent cx="115570" cy="219710"/>
            <wp:effectExtent l="0" t="0" r="11430" b="8890"/>
            <wp:docPr id="10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15570" cy="219710"/>
                    </a:xfrm>
                    <a:prstGeom prst="rect">
                      <a:avLst/>
                    </a:prstGeom>
                    <a:noFill/>
                    <a:ln>
                      <a:noFill/>
                    </a:ln>
                  </pic:spPr>
                </pic:pic>
              </a:graphicData>
            </a:graphic>
          </wp:inline>
        </w:drawing>
      </w:r>
      <w:r w:rsidRPr="00A51A7C">
        <w:rPr>
          <w:rFonts w:cs="Times"/>
        </w:rPr>
        <w:t>, entering equation (2) is estimated from equation (5):</w:t>
      </w:r>
    </w:p>
    <w:p w:rsidR="0095785B" w:rsidRPr="00A51A7C" w:rsidRDefault="0095785B" w:rsidP="00D658CB">
      <w:pPr>
        <w:spacing w:after="0" w:line="480" w:lineRule="auto"/>
        <w:rPr>
          <w:rFonts w:cs="Times"/>
        </w:rPr>
      </w:pPr>
      <w:r w:rsidRPr="00A51A7C">
        <w:rPr>
          <w:rFonts w:cs="Times"/>
          <w:noProof/>
          <w:position w:val="-12"/>
          <w:lang w:val="es-ES_tradnl" w:eastAsia="es-ES_tradnl"/>
        </w:rPr>
        <w:drawing>
          <wp:inline distT="0" distB="0" distL="0" distR="0">
            <wp:extent cx="1042035" cy="219710"/>
            <wp:effectExtent l="0" t="0" r="0" b="8890"/>
            <wp:docPr id="11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042035" cy="219710"/>
                    </a:xfrm>
                    <a:prstGeom prst="rect">
                      <a:avLst/>
                    </a:prstGeom>
                    <a:noFill/>
                    <a:ln>
                      <a:noFill/>
                    </a:ln>
                  </pic:spPr>
                </pic:pic>
              </a:graphicData>
            </a:graphic>
          </wp:inline>
        </w:drawing>
      </w:r>
      <w:r w:rsidRPr="00A51A7C">
        <w:rPr>
          <w:rFonts w:cs="Times"/>
        </w:rPr>
        <w:t>,</w:t>
      </w:r>
      <w:r w:rsidRPr="00A51A7C">
        <w:rPr>
          <w:rFonts w:cs="Times"/>
        </w:rPr>
        <w:tab/>
      </w:r>
      <w:r w:rsidRPr="00A51A7C">
        <w:rPr>
          <w:rFonts w:cs="Times"/>
        </w:rPr>
        <w:tab/>
      </w:r>
      <w:r w:rsidRPr="00A51A7C">
        <w:rPr>
          <w:rFonts w:cs="Times"/>
        </w:rPr>
        <w:tab/>
      </w:r>
      <w:r w:rsidRPr="00A51A7C">
        <w:rPr>
          <w:rFonts w:cs="Times"/>
        </w:rPr>
        <w:tab/>
      </w:r>
      <w:r w:rsidRPr="00A51A7C">
        <w:rPr>
          <w:rFonts w:cs="Times"/>
        </w:rPr>
        <w:tab/>
      </w:r>
      <w:r w:rsidRPr="00A51A7C">
        <w:rPr>
          <w:rFonts w:cs="Times"/>
        </w:rPr>
        <w:tab/>
        <w:t>(5)</w:t>
      </w:r>
    </w:p>
    <w:p w:rsidR="0095785B" w:rsidRPr="00A51A7C" w:rsidRDefault="0095785B" w:rsidP="00D658CB">
      <w:pPr>
        <w:spacing w:after="0" w:line="480" w:lineRule="auto"/>
        <w:rPr>
          <w:rFonts w:cs="Times"/>
        </w:rPr>
      </w:pPr>
      <w:r w:rsidRPr="00A51A7C">
        <w:rPr>
          <w:rFonts w:cs="Times"/>
        </w:rPr>
        <w:t xml:space="preserve">where </w:t>
      </w:r>
      <w:r w:rsidRPr="00A51A7C">
        <w:rPr>
          <w:rFonts w:cs="Times"/>
          <w:noProof/>
          <w:position w:val="-12"/>
          <w:lang w:val="es-ES_tradnl" w:eastAsia="es-ES_tradnl"/>
        </w:rPr>
        <w:drawing>
          <wp:inline distT="0" distB="0" distL="0" distR="0">
            <wp:extent cx="185420" cy="219710"/>
            <wp:effectExtent l="0" t="0" r="0" b="8890"/>
            <wp:docPr id="11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5420" cy="219710"/>
                    </a:xfrm>
                    <a:prstGeom prst="rect">
                      <a:avLst/>
                    </a:prstGeom>
                    <a:noFill/>
                    <a:ln>
                      <a:noFill/>
                    </a:ln>
                  </pic:spPr>
                </pic:pic>
              </a:graphicData>
            </a:graphic>
          </wp:inline>
        </w:drawing>
      </w:r>
      <w:r w:rsidRPr="00A51A7C">
        <w:rPr>
          <w:rFonts w:cs="Times"/>
        </w:rPr>
        <w:t xml:space="preserve"> is the administered activity to the mice (20 </w:t>
      </w:r>
      <w:proofErr w:type="spellStart"/>
      <w:r w:rsidRPr="00A51A7C">
        <w:rPr>
          <w:rFonts w:cs="Times"/>
        </w:rPr>
        <w:t>MBq</w:t>
      </w:r>
      <w:proofErr w:type="spellEnd"/>
      <w:r w:rsidRPr="00A51A7C">
        <w:rPr>
          <w:rFonts w:cs="Times"/>
        </w:rPr>
        <w:t xml:space="preserve">), </w:t>
      </w:r>
      <w:r w:rsidRPr="00A51A7C">
        <w:rPr>
          <w:rFonts w:cs="Times"/>
          <w:noProof/>
          <w:position w:val="-12"/>
          <w:lang w:val="es-ES_tradnl" w:eastAsia="es-ES_tradnl"/>
        </w:rPr>
        <w:drawing>
          <wp:inline distT="0" distB="0" distL="0" distR="0">
            <wp:extent cx="243205" cy="219710"/>
            <wp:effectExtent l="0" t="0" r="10795" b="8890"/>
            <wp:docPr id="11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3205" cy="219710"/>
                    </a:xfrm>
                    <a:prstGeom prst="rect">
                      <a:avLst/>
                    </a:prstGeom>
                    <a:noFill/>
                    <a:ln>
                      <a:noFill/>
                    </a:ln>
                  </pic:spPr>
                </pic:pic>
              </a:graphicData>
            </a:graphic>
          </wp:inline>
        </w:drawing>
      </w:r>
      <w:r w:rsidRPr="00A51A7C">
        <w:rPr>
          <w:rFonts w:cs="Times"/>
        </w:rPr>
        <w:t xml:space="preserve"> is obtained from equation (3), </w:t>
      </w:r>
      <w:r w:rsidRPr="00A51A7C">
        <w:rPr>
          <w:rFonts w:cs="Times"/>
          <w:noProof/>
          <w:position w:val="-10"/>
          <w:lang w:val="es-ES_tradnl" w:eastAsia="es-ES_tradnl"/>
        </w:rPr>
        <w:drawing>
          <wp:inline distT="0" distB="0" distL="0" distR="0">
            <wp:extent cx="185420" cy="219710"/>
            <wp:effectExtent l="0" t="0" r="0" b="8890"/>
            <wp:docPr id="11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5420" cy="219710"/>
                    </a:xfrm>
                    <a:prstGeom prst="rect">
                      <a:avLst/>
                    </a:prstGeom>
                    <a:noFill/>
                    <a:ln>
                      <a:noFill/>
                    </a:ln>
                  </pic:spPr>
                </pic:pic>
              </a:graphicData>
            </a:graphic>
          </wp:inline>
        </w:drawing>
      </w:r>
      <w:r w:rsidRPr="00A51A7C">
        <w:rPr>
          <w:rFonts w:cs="Times"/>
        </w:rPr>
        <w:t xml:space="preserve"> is the fraction of the organ activity that is taken up by the tumor, and </w:t>
      </w:r>
      <w:r w:rsidRPr="00A51A7C">
        <w:rPr>
          <w:rFonts w:cs="Times"/>
          <w:noProof/>
          <w:position w:val="-6"/>
          <w:lang w:val="es-ES_tradnl" w:eastAsia="es-ES_tradnl"/>
        </w:rPr>
        <w:drawing>
          <wp:inline distT="0" distB="0" distL="0" distR="0">
            <wp:extent cx="115570" cy="185420"/>
            <wp:effectExtent l="0" t="0" r="11430" b="0"/>
            <wp:docPr id="11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15570" cy="185420"/>
                    </a:xfrm>
                    <a:prstGeom prst="rect">
                      <a:avLst/>
                    </a:prstGeom>
                    <a:noFill/>
                    <a:ln>
                      <a:noFill/>
                    </a:ln>
                  </pic:spPr>
                </pic:pic>
              </a:graphicData>
            </a:graphic>
          </wp:inline>
        </w:drawing>
      </w:r>
      <w:r w:rsidRPr="00A51A7C">
        <w:rPr>
          <w:rFonts w:cs="Times"/>
        </w:rPr>
        <w:t xml:space="preserve"> is the radiation absorbed dose to the tumor per radionuclide decay (</w:t>
      </w:r>
      <w:proofErr w:type="spellStart"/>
      <w:r w:rsidRPr="00A51A7C">
        <w:rPr>
          <w:rFonts w:cs="Times"/>
        </w:rPr>
        <w:t>Gy</w:t>
      </w:r>
      <w:proofErr w:type="spellEnd"/>
      <w:r w:rsidRPr="00A51A7C">
        <w:rPr>
          <w:rFonts w:cs="Times"/>
        </w:rPr>
        <w:t xml:space="preserve"> Bq</w:t>
      </w:r>
      <w:r w:rsidRPr="00A51A7C">
        <w:rPr>
          <w:rFonts w:cs="Times"/>
          <w:vertAlign w:val="superscript"/>
        </w:rPr>
        <w:t>-1</w:t>
      </w:r>
      <w:r w:rsidRPr="00A51A7C">
        <w:rPr>
          <w:rFonts w:cs="Times"/>
        </w:rPr>
        <w:t xml:space="preserve"> s</w:t>
      </w:r>
      <w:r w:rsidRPr="00A51A7C">
        <w:rPr>
          <w:rFonts w:cs="Times"/>
          <w:vertAlign w:val="superscript"/>
        </w:rPr>
        <w:t>-1</w:t>
      </w:r>
      <w:r w:rsidRPr="00A51A7C">
        <w:rPr>
          <w:rFonts w:cs="Times"/>
        </w:rPr>
        <w:t xml:space="preserve">). For </w:t>
      </w:r>
      <w:r w:rsidRPr="00A51A7C">
        <w:rPr>
          <w:rFonts w:cs="Times"/>
          <w:vertAlign w:val="superscript"/>
        </w:rPr>
        <w:t>153</w:t>
      </w:r>
      <w:r w:rsidRPr="00A51A7C">
        <w:rPr>
          <w:rFonts w:cs="Times"/>
        </w:rPr>
        <w:t xml:space="preserve">Sm and a tumor mass of 0.07 g, </w:t>
      </w:r>
      <w:r w:rsidRPr="00A51A7C">
        <w:rPr>
          <w:rFonts w:cs="Times"/>
          <w:noProof/>
          <w:position w:val="-10"/>
          <w:lang w:val="es-ES_tradnl" w:eastAsia="es-ES_tradnl"/>
        </w:rPr>
        <w:drawing>
          <wp:inline distT="0" distB="0" distL="0" distR="0">
            <wp:extent cx="1597025" cy="219710"/>
            <wp:effectExtent l="0" t="0" r="3175" b="8890"/>
            <wp:docPr id="11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97025" cy="219710"/>
                    </a:xfrm>
                    <a:prstGeom prst="rect">
                      <a:avLst/>
                    </a:prstGeom>
                    <a:noFill/>
                    <a:ln>
                      <a:noFill/>
                    </a:ln>
                  </pic:spPr>
                </pic:pic>
              </a:graphicData>
            </a:graphic>
          </wp:inline>
        </w:drawing>
      </w:r>
      <w:r w:rsidRPr="00A51A7C">
        <w:rPr>
          <w:rFonts w:cs="Times"/>
        </w:rPr>
        <w:t>.</w:t>
      </w:r>
      <w:r w:rsidR="00667C01" w:rsidRPr="00A51A7C">
        <w:rPr>
          <w:rFonts w:cs="Times"/>
          <w:noProof/>
          <w:vertAlign w:val="superscript"/>
        </w:rPr>
        <w:t>83</w:t>
      </w:r>
      <w:r w:rsidRPr="00A51A7C">
        <w:rPr>
          <w:rFonts w:cs="Times"/>
        </w:rPr>
        <w:t xml:space="preserve"> </w:t>
      </w:r>
      <w:proofErr w:type="gramStart"/>
      <w:r w:rsidRPr="00A51A7C">
        <w:rPr>
          <w:rFonts w:cs="Times"/>
        </w:rPr>
        <w:t>To</w:t>
      </w:r>
      <w:proofErr w:type="gramEnd"/>
      <w:r w:rsidRPr="00A51A7C">
        <w:rPr>
          <w:rFonts w:cs="Times"/>
        </w:rPr>
        <w:t xml:space="preserve"> obtain</w:t>
      </w:r>
      <w:r w:rsidRPr="00A51A7C">
        <w:rPr>
          <w:rFonts w:cs="Times"/>
          <w:noProof/>
          <w:position w:val="-10"/>
          <w:lang w:val="es-ES_tradnl" w:eastAsia="es-ES_tradnl"/>
        </w:rPr>
        <w:drawing>
          <wp:inline distT="0" distB="0" distL="0" distR="0">
            <wp:extent cx="185420" cy="219710"/>
            <wp:effectExtent l="0" t="0" r="0" b="8890"/>
            <wp:docPr id="11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5420" cy="219710"/>
                    </a:xfrm>
                    <a:prstGeom prst="rect">
                      <a:avLst/>
                    </a:prstGeom>
                    <a:noFill/>
                    <a:ln>
                      <a:noFill/>
                    </a:ln>
                  </pic:spPr>
                </pic:pic>
              </a:graphicData>
            </a:graphic>
          </wp:inline>
        </w:drawing>
      </w:r>
      <w:r w:rsidRPr="00A51A7C">
        <w:rPr>
          <w:rFonts w:cs="Times"/>
        </w:rPr>
        <w:t xml:space="preserve">, it is assumed that the activity was distributed uniformly </w:t>
      </w:r>
      <w:r w:rsidRPr="00A51A7C">
        <w:rPr>
          <w:rFonts w:cs="Times"/>
        </w:rPr>
        <w:lastRenderedPageBreak/>
        <w:t>in the tumor (</w:t>
      </w:r>
      <w:r w:rsidRPr="00A51A7C">
        <w:rPr>
          <w:rFonts w:cs="Times"/>
          <w:noProof/>
          <w:position w:val="-12"/>
          <w:lang w:val="es-ES_tradnl" w:eastAsia="es-ES_tradnl"/>
        </w:rPr>
        <w:drawing>
          <wp:inline distT="0" distB="0" distL="0" distR="0">
            <wp:extent cx="983615" cy="219710"/>
            <wp:effectExtent l="0" t="0" r="6985" b="8890"/>
            <wp:docPr id="1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983615" cy="219710"/>
                    </a:xfrm>
                    <a:prstGeom prst="rect">
                      <a:avLst/>
                    </a:prstGeom>
                    <a:noFill/>
                    <a:ln>
                      <a:noFill/>
                    </a:ln>
                  </pic:spPr>
                </pic:pic>
              </a:graphicData>
            </a:graphic>
          </wp:inline>
        </w:drawing>
      </w:r>
      <w:r w:rsidRPr="00A51A7C">
        <w:rPr>
          <w:rFonts w:cs="Times"/>
        </w:rPr>
        <w:t>) and the lungs (</w:t>
      </w:r>
      <w:r w:rsidRPr="00A51A7C">
        <w:rPr>
          <w:rFonts w:cs="Times"/>
          <w:noProof/>
          <w:position w:val="-14"/>
          <w:lang w:val="es-ES_tradnl" w:eastAsia="es-ES_tradnl"/>
        </w:rPr>
        <w:drawing>
          <wp:inline distT="0" distB="0" distL="0" distR="0">
            <wp:extent cx="937260" cy="243205"/>
            <wp:effectExtent l="0" t="0" r="2540" b="10795"/>
            <wp:docPr id="11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37260" cy="243205"/>
                    </a:xfrm>
                    <a:prstGeom prst="rect">
                      <a:avLst/>
                    </a:prstGeom>
                    <a:noFill/>
                    <a:ln>
                      <a:noFill/>
                    </a:ln>
                  </pic:spPr>
                </pic:pic>
              </a:graphicData>
            </a:graphic>
          </wp:inline>
        </w:drawing>
      </w:r>
      <w:r w:rsidRPr="00A51A7C">
        <w:rPr>
          <w:rFonts w:cs="Times"/>
        </w:rPr>
        <w:t>), so</w:t>
      </w:r>
      <w:r w:rsidRPr="00A51A7C">
        <w:rPr>
          <w:rFonts w:cs="Times"/>
          <w:noProof/>
          <w:position w:val="-18"/>
          <w:lang w:val="es-ES_tradnl" w:eastAsia="es-ES_tradnl"/>
        </w:rPr>
        <w:drawing>
          <wp:inline distT="0" distB="0" distL="0" distR="0">
            <wp:extent cx="1435100" cy="289560"/>
            <wp:effectExtent l="0" t="0" r="12700" b="0"/>
            <wp:docPr id="11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435100" cy="289560"/>
                    </a:xfrm>
                    <a:prstGeom prst="rect">
                      <a:avLst/>
                    </a:prstGeom>
                    <a:noFill/>
                    <a:ln>
                      <a:noFill/>
                    </a:ln>
                  </pic:spPr>
                </pic:pic>
              </a:graphicData>
            </a:graphic>
          </wp:inline>
        </w:drawing>
      </w:r>
      <w:r w:rsidRPr="00A51A7C">
        <w:rPr>
          <w:rFonts w:cs="Times"/>
        </w:rPr>
        <w:t xml:space="preserve">. Substituting the above parameters in equation (2), the values </w:t>
      </w:r>
      <w:r w:rsidRPr="00A51A7C">
        <w:rPr>
          <w:rFonts w:cs="Times"/>
          <w:noProof/>
          <w:position w:val="-12"/>
          <w:lang w:val="es-ES_tradnl" w:eastAsia="es-ES_tradnl"/>
        </w:rPr>
        <w:drawing>
          <wp:inline distT="0" distB="0" distL="0" distR="0">
            <wp:extent cx="1064895" cy="243205"/>
            <wp:effectExtent l="0" t="0" r="1905" b="10795"/>
            <wp:docPr id="12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064895" cy="243205"/>
                    </a:xfrm>
                    <a:prstGeom prst="rect">
                      <a:avLst/>
                    </a:prstGeom>
                    <a:noFill/>
                    <a:ln>
                      <a:noFill/>
                    </a:ln>
                  </pic:spPr>
                </pic:pic>
              </a:graphicData>
            </a:graphic>
          </wp:inline>
        </w:drawing>
      </w:r>
      <w:r w:rsidRPr="00A51A7C">
        <w:rPr>
          <w:rFonts w:cs="Times"/>
        </w:rPr>
        <w:t xml:space="preserve"> and </w:t>
      </w:r>
      <w:r w:rsidRPr="00A51A7C">
        <w:rPr>
          <w:rFonts w:cs="Times"/>
          <w:noProof/>
          <w:position w:val="-12"/>
          <w:lang w:val="es-ES_tradnl" w:eastAsia="es-ES_tradnl"/>
        </w:rPr>
        <w:drawing>
          <wp:inline distT="0" distB="0" distL="0" distR="0">
            <wp:extent cx="1064895" cy="243205"/>
            <wp:effectExtent l="0" t="0" r="1905" b="10795"/>
            <wp:docPr id="121"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064895" cy="243205"/>
                    </a:xfrm>
                    <a:prstGeom prst="rect">
                      <a:avLst/>
                    </a:prstGeom>
                    <a:noFill/>
                    <a:ln>
                      <a:noFill/>
                    </a:ln>
                  </pic:spPr>
                </pic:pic>
              </a:graphicData>
            </a:graphic>
          </wp:inline>
        </w:drawing>
      </w:r>
      <w:r w:rsidRPr="00A51A7C">
        <w:rPr>
          <w:rFonts w:cs="Times"/>
        </w:rPr>
        <w:t xml:space="preserve"> are obtained for MWNTs and SWNTs, respectively.</w:t>
      </w:r>
    </w:p>
    <w:p w:rsidR="0095785B" w:rsidRPr="00A51A7C" w:rsidRDefault="0095785B" w:rsidP="00D658CB">
      <w:pPr>
        <w:spacing w:after="0" w:line="480" w:lineRule="auto"/>
        <w:rPr>
          <w:rFonts w:cs="Times"/>
        </w:rPr>
      </w:pPr>
      <w:r w:rsidRPr="00A51A7C">
        <w:rPr>
          <w:rFonts w:cs="Times"/>
        </w:rPr>
        <w:t xml:space="preserve">The </w:t>
      </w:r>
      <w:proofErr w:type="spellStart"/>
      <w:r w:rsidRPr="00A51A7C">
        <w:rPr>
          <w:rFonts w:cs="Times"/>
        </w:rPr>
        <w:t>radiosensitivity</w:t>
      </w:r>
      <w:proofErr w:type="spellEnd"/>
      <w:r w:rsidRPr="00A51A7C">
        <w:rPr>
          <w:rFonts w:cs="Times"/>
        </w:rPr>
        <w:t xml:space="preserve"> parameter α was determined empirically from cell survival data using the expression</w:t>
      </w:r>
    </w:p>
    <w:p w:rsidR="0095785B" w:rsidRPr="00A51A7C" w:rsidRDefault="0095785B" w:rsidP="00D658CB">
      <w:pPr>
        <w:spacing w:after="0" w:line="480" w:lineRule="auto"/>
        <w:rPr>
          <w:rFonts w:cs="Times"/>
        </w:rPr>
      </w:pPr>
      <w:r w:rsidRPr="00A51A7C">
        <w:rPr>
          <w:rFonts w:cs="Times"/>
          <w:noProof/>
          <w:position w:val="-28"/>
          <w:lang w:val="es-ES_tradnl" w:eastAsia="es-ES_tradnl"/>
        </w:rPr>
        <w:drawing>
          <wp:inline distT="0" distB="0" distL="0" distR="0">
            <wp:extent cx="1238250" cy="393700"/>
            <wp:effectExtent l="0" t="0" r="6350" b="12700"/>
            <wp:docPr id="122"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238250" cy="393700"/>
                    </a:xfrm>
                    <a:prstGeom prst="rect">
                      <a:avLst/>
                    </a:prstGeom>
                    <a:noFill/>
                    <a:ln>
                      <a:noFill/>
                    </a:ln>
                  </pic:spPr>
                </pic:pic>
              </a:graphicData>
            </a:graphic>
          </wp:inline>
        </w:drawing>
      </w:r>
      <w:r w:rsidRPr="00A51A7C">
        <w:rPr>
          <w:rFonts w:cs="Times"/>
        </w:rPr>
        <w:t>,</w:t>
      </w:r>
      <w:r w:rsidRPr="00A51A7C">
        <w:rPr>
          <w:rFonts w:cs="Times"/>
        </w:rPr>
        <w:tab/>
      </w:r>
      <w:r w:rsidRPr="00A51A7C">
        <w:rPr>
          <w:rFonts w:cs="Times"/>
        </w:rPr>
        <w:tab/>
      </w:r>
      <w:r w:rsidRPr="00A51A7C">
        <w:rPr>
          <w:rFonts w:cs="Times"/>
        </w:rPr>
        <w:tab/>
      </w:r>
      <w:r w:rsidRPr="00A51A7C">
        <w:rPr>
          <w:rFonts w:cs="Times"/>
        </w:rPr>
        <w:tab/>
      </w:r>
      <w:r w:rsidRPr="00A51A7C">
        <w:rPr>
          <w:rFonts w:cs="Times"/>
        </w:rPr>
        <w:tab/>
      </w:r>
      <w:r w:rsidRPr="00A51A7C">
        <w:rPr>
          <w:rFonts w:cs="Times"/>
        </w:rPr>
        <w:tab/>
        <w:t>(6)</w:t>
      </w:r>
    </w:p>
    <w:p w:rsidR="0095785B" w:rsidRPr="00A51A7C" w:rsidRDefault="0095785B" w:rsidP="00D658CB">
      <w:pPr>
        <w:spacing w:after="0" w:line="480" w:lineRule="auto"/>
        <w:rPr>
          <w:rFonts w:cs="Times"/>
        </w:rPr>
      </w:pPr>
      <w:proofErr w:type="gramStart"/>
      <w:r w:rsidRPr="00A51A7C">
        <w:rPr>
          <w:rFonts w:cs="Times"/>
        </w:rPr>
        <w:t>where</w:t>
      </w:r>
      <w:proofErr w:type="gramEnd"/>
      <w:r w:rsidRPr="00A51A7C">
        <w:rPr>
          <w:rFonts w:cs="Times"/>
        </w:rPr>
        <w:t xml:space="preserve"> </w:t>
      </w:r>
      <w:r w:rsidRPr="00A51A7C">
        <w:rPr>
          <w:rFonts w:cs="Times"/>
          <w:noProof/>
          <w:position w:val="-10"/>
          <w:lang w:val="es-ES_tradnl" w:eastAsia="es-ES_tradnl"/>
        </w:rPr>
        <w:drawing>
          <wp:inline distT="0" distB="0" distL="0" distR="0">
            <wp:extent cx="243205" cy="219710"/>
            <wp:effectExtent l="0" t="0" r="10795" b="8890"/>
            <wp:docPr id="12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3205" cy="219710"/>
                    </a:xfrm>
                    <a:prstGeom prst="rect">
                      <a:avLst/>
                    </a:prstGeom>
                    <a:noFill/>
                    <a:ln>
                      <a:noFill/>
                    </a:ln>
                  </pic:spPr>
                </pic:pic>
              </a:graphicData>
            </a:graphic>
          </wp:inline>
        </w:drawing>
      </w:r>
      <w:r w:rsidRPr="00A51A7C">
        <w:rPr>
          <w:rFonts w:cs="Times"/>
        </w:rPr>
        <w:t xml:space="preserve"> is the measured surviving fraction at </w:t>
      </w:r>
      <w:r w:rsidRPr="00A51A7C">
        <w:rPr>
          <w:rFonts w:cs="Times"/>
          <w:noProof/>
          <w:position w:val="-10"/>
          <w:lang w:val="es-ES_tradnl" w:eastAsia="es-ES_tradnl"/>
        </w:rPr>
        <w:drawing>
          <wp:inline distT="0" distB="0" distL="0" distR="0">
            <wp:extent cx="624840" cy="185420"/>
            <wp:effectExtent l="0" t="0" r="10160" b="0"/>
            <wp:docPr id="12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4840" cy="185420"/>
                    </a:xfrm>
                    <a:prstGeom prst="rect">
                      <a:avLst/>
                    </a:prstGeom>
                    <a:noFill/>
                    <a:ln>
                      <a:noFill/>
                    </a:ln>
                  </pic:spPr>
                </pic:pic>
              </a:graphicData>
            </a:graphic>
          </wp:inline>
        </w:drawing>
      </w:r>
      <w:r w:rsidRPr="00A51A7C">
        <w:rPr>
          <w:rFonts w:cs="Times"/>
        </w:rPr>
        <w:t xml:space="preserve"> and </w:t>
      </w:r>
      <w:r w:rsidRPr="00A51A7C">
        <w:rPr>
          <w:rFonts w:cs="Times"/>
          <w:noProof/>
          <w:position w:val="-10"/>
          <w:lang w:val="es-ES_tradnl" w:eastAsia="es-ES_tradnl"/>
        </w:rPr>
        <w:drawing>
          <wp:inline distT="0" distB="0" distL="0" distR="0">
            <wp:extent cx="323850" cy="185420"/>
            <wp:effectExtent l="0" t="0" r="6350" b="0"/>
            <wp:docPr id="12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3850" cy="185420"/>
                    </a:xfrm>
                    <a:prstGeom prst="rect">
                      <a:avLst/>
                    </a:prstGeom>
                    <a:noFill/>
                    <a:ln>
                      <a:noFill/>
                    </a:ln>
                  </pic:spPr>
                </pic:pic>
              </a:graphicData>
            </a:graphic>
          </wp:inline>
        </w:drawing>
      </w:r>
      <w:r w:rsidRPr="00A51A7C">
        <w:rPr>
          <w:rFonts w:cs="Times"/>
        </w:rPr>
        <w:t xml:space="preserve"> is the dose where the linear and quadratic cell-kill mechanisms (of the linear-quadratic cell survival model) are equal. For B16F10-Luc cells, </w:t>
      </w:r>
      <w:r w:rsidRPr="00A51A7C">
        <w:rPr>
          <w:rFonts w:cs="Times"/>
          <w:noProof/>
          <w:position w:val="-10"/>
          <w:lang w:val="es-ES_tradnl" w:eastAsia="es-ES_tradnl"/>
        </w:rPr>
        <w:drawing>
          <wp:inline distT="0" distB="0" distL="0" distR="0">
            <wp:extent cx="682625" cy="219710"/>
            <wp:effectExtent l="0" t="0" r="3175" b="8890"/>
            <wp:docPr id="126"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82625" cy="219710"/>
                    </a:xfrm>
                    <a:prstGeom prst="rect">
                      <a:avLst/>
                    </a:prstGeom>
                    <a:noFill/>
                    <a:ln>
                      <a:noFill/>
                    </a:ln>
                  </pic:spPr>
                </pic:pic>
              </a:graphicData>
            </a:graphic>
          </wp:inline>
        </w:drawing>
      </w:r>
      <w:r w:rsidRPr="00A51A7C">
        <w:rPr>
          <w:rFonts w:cs="Times"/>
        </w:rPr>
        <w:t>.</w:t>
      </w:r>
      <w:r w:rsidR="00667C01" w:rsidRPr="00A51A7C">
        <w:rPr>
          <w:rFonts w:cs="Times"/>
          <w:noProof/>
          <w:vertAlign w:val="superscript"/>
        </w:rPr>
        <w:t>84</w:t>
      </w:r>
      <w:r w:rsidRPr="00A51A7C">
        <w:rPr>
          <w:rFonts w:cs="Times"/>
        </w:rPr>
        <w:t xml:space="preserve"> </w:t>
      </w:r>
      <w:proofErr w:type="gramStart"/>
      <w:r w:rsidRPr="00A51A7C">
        <w:rPr>
          <w:rFonts w:cs="Times"/>
        </w:rPr>
        <w:t>Such</w:t>
      </w:r>
      <w:proofErr w:type="gramEnd"/>
      <w:r w:rsidRPr="00A51A7C">
        <w:rPr>
          <w:rFonts w:cs="Times"/>
        </w:rPr>
        <w:t xml:space="preserve"> a high value for </w:t>
      </w:r>
      <w:r w:rsidRPr="00A51A7C">
        <w:rPr>
          <w:rFonts w:cs="Times"/>
          <w:noProof/>
          <w:position w:val="-10"/>
          <w:lang w:val="es-ES_tradnl" w:eastAsia="es-ES_tradnl"/>
        </w:rPr>
        <w:drawing>
          <wp:inline distT="0" distB="0" distL="0" distR="0">
            <wp:extent cx="243205" cy="219710"/>
            <wp:effectExtent l="0" t="0" r="10795" b="8890"/>
            <wp:docPr id="127"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3205" cy="219710"/>
                    </a:xfrm>
                    <a:prstGeom prst="rect">
                      <a:avLst/>
                    </a:prstGeom>
                    <a:noFill/>
                    <a:ln>
                      <a:noFill/>
                    </a:ln>
                  </pic:spPr>
                </pic:pic>
              </a:graphicData>
            </a:graphic>
          </wp:inline>
        </w:drawing>
      </w:r>
      <w:r w:rsidRPr="00A51A7C">
        <w:rPr>
          <w:rFonts w:cs="Times"/>
        </w:rPr>
        <w:t xml:space="preserve"> corresponds to an extremely </w:t>
      </w:r>
      <w:proofErr w:type="spellStart"/>
      <w:r w:rsidRPr="00A51A7C">
        <w:rPr>
          <w:rFonts w:cs="Times"/>
        </w:rPr>
        <w:t>radioresistant</w:t>
      </w:r>
      <w:proofErr w:type="spellEnd"/>
      <w:r w:rsidRPr="00A51A7C">
        <w:rPr>
          <w:rFonts w:cs="Times"/>
        </w:rPr>
        <w:t xml:space="preserve"> cell line. Thus, to a first approximation, we can assume </w:t>
      </w:r>
      <w:r w:rsidRPr="00A51A7C">
        <w:rPr>
          <w:rFonts w:cs="Times"/>
          <w:noProof/>
          <w:position w:val="-10"/>
          <w:lang w:val="es-ES_tradnl" w:eastAsia="es-ES_tradnl"/>
        </w:rPr>
        <w:drawing>
          <wp:inline distT="0" distB="0" distL="0" distR="0">
            <wp:extent cx="728980" cy="185420"/>
            <wp:effectExtent l="0" t="0" r="7620" b="0"/>
            <wp:docPr id="128"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728980" cy="185420"/>
                    </a:xfrm>
                    <a:prstGeom prst="rect">
                      <a:avLst/>
                    </a:prstGeom>
                    <a:noFill/>
                    <a:ln>
                      <a:noFill/>
                    </a:ln>
                  </pic:spPr>
                </pic:pic>
              </a:graphicData>
            </a:graphic>
          </wp:inline>
        </w:drawing>
      </w:r>
      <w:r w:rsidRPr="00A51A7C">
        <w:rPr>
          <w:rFonts w:cs="Times"/>
        </w:rPr>
        <w:t xml:space="preserve"> which is at the low-end of the range of values observed for the late responding tissues.</w:t>
      </w:r>
      <w:r w:rsidR="00667C01" w:rsidRPr="00A51A7C">
        <w:rPr>
          <w:rFonts w:cs="Times"/>
          <w:noProof/>
          <w:vertAlign w:val="superscript"/>
        </w:rPr>
        <w:t>85, 86</w:t>
      </w:r>
      <w:r w:rsidRPr="00A51A7C">
        <w:rPr>
          <w:rFonts w:cs="Times"/>
        </w:rPr>
        <w:t xml:space="preserve"> equation (6) yields </w:t>
      </w:r>
      <w:r w:rsidRPr="00A51A7C">
        <w:rPr>
          <w:rFonts w:cs="Times"/>
          <w:noProof/>
          <w:position w:val="-6"/>
          <w:lang w:val="es-ES_tradnl" w:eastAsia="es-ES_tradnl"/>
        </w:rPr>
        <w:drawing>
          <wp:inline distT="0" distB="0" distL="0" distR="0">
            <wp:extent cx="728980" cy="185420"/>
            <wp:effectExtent l="0" t="0" r="7620" b="0"/>
            <wp:docPr id="129"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728980" cy="185420"/>
                    </a:xfrm>
                    <a:prstGeom prst="rect">
                      <a:avLst/>
                    </a:prstGeom>
                    <a:noFill/>
                    <a:ln>
                      <a:noFill/>
                    </a:ln>
                  </pic:spPr>
                </pic:pic>
              </a:graphicData>
            </a:graphic>
          </wp:inline>
        </w:drawing>
      </w:r>
      <w:r w:rsidRPr="00A51A7C">
        <w:rPr>
          <w:rFonts w:cs="Times"/>
        </w:rPr>
        <w:t xml:space="preserve"> Gy</w:t>
      </w:r>
      <w:r w:rsidRPr="00A51A7C">
        <w:rPr>
          <w:rFonts w:cs="Times"/>
          <w:vertAlign w:val="superscript"/>
        </w:rPr>
        <w:t>-1</w:t>
      </w:r>
      <w:r w:rsidRPr="00A51A7C">
        <w:rPr>
          <w:rFonts w:cs="Times"/>
        </w:rPr>
        <w:t>.</w:t>
      </w:r>
    </w:p>
    <w:p w:rsidR="00853E1B" w:rsidRPr="00A51A7C" w:rsidRDefault="0095785B" w:rsidP="00D658CB">
      <w:pPr>
        <w:spacing w:after="0" w:line="480" w:lineRule="auto"/>
        <w:rPr>
          <w:rFonts w:cs="Times"/>
        </w:rPr>
      </w:pPr>
      <w:r w:rsidRPr="00A51A7C">
        <w:rPr>
          <w:rFonts w:cs="Times"/>
        </w:rPr>
        <w:t>From the above dosimetry model we may also obtain a rough estimate of the required administered activity for local tumor control, defined here as the eradication of all (</w:t>
      </w:r>
      <w:proofErr w:type="spellStart"/>
      <w:r w:rsidRPr="00A51A7C">
        <w:rPr>
          <w:rFonts w:cs="Times"/>
        </w:rPr>
        <w:t>clonogenic</w:t>
      </w:r>
      <w:proofErr w:type="spellEnd"/>
      <w:r w:rsidRPr="00A51A7C">
        <w:rPr>
          <w:rFonts w:cs="Times"/>
        </w:rPr>
        <w:t>) tumor cells with 95% probability. Assuming that 70 mg of tumor contain roughly 7×10</w:t>
      </w:r>
      <w:r w:rsidRPr="00A51A7C">
        <w:rPr>
          <w:rFonts w:cs="Times"/>
          <w:vertAlign w:val="superscript"/>
        </w:rPr>
        <w:t>7</w:t>
      </w:r>
      <w:r w:rsidRPr="00A51A7C">
        <w:rPr>
          <w:rFonts w:cs="Times"/>
        </w:rPr>
        <w:t xml:space="preserve"> cells (and all are </w:t>
      </w:r>
      <w:proofErr w:type="spellStart"/>
      <w:r w:rsidRPr="00A51A7C">
        <w:rPr>
          <w:rFonts w:cs="Times"/>
        </w:rPr>
        <w:t>clonogenic</w:t>
      </w:r>
      <w:proofErr w:type="spellEnd"/>
      <w:r w:rsidRPr="00A51A7C">
        <w:rPr>
          <w:rFonts w:cs="Times"/>
        </w:rPr>
        <w:t xml:space="preserve">) the above local tumor control probability translates to the condition </w:t>
      </w:r>
      <w:r w:rsidR="00853E1B" w:rsidRPr="00A51A7C">
        <w:rPr>
          <w:rFonts w:cs="Times"/>
          <w:noProof/>
          <w:lang w:val="es-ES_tradnl" w:eastAsia="es-ES_tradnl"/>
        </w:rPr>
        <w:drawing>
          <wp:inline distT="0" distB="0" distL="0" distR="0">
            <wp:extent cx="1785668" cy="43132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34490" t="-9087" r="34318" b="-4560"/>
                    <a:stretch/>
                  </pic:blipFill>
                  <pic:spPr bwMode="auto">
                    <a:xfrm>
                      <a:off x="0" y="0"/>
                      <a:ext cx="1786600" cy="431545"/>
                    </a:xfrm>
                    <a:prstGeom prst="rect">
                      <a:avLst/>
                    </a:prstGeom>
                    <a:noFill/>
                    <a:ln>
                      <a:noFill/>
                    </a:ln>
                    <a:extLst>
                      <a:ext uri="{53640926-AAD7-44D8-BBD7-CCE9431645EC}">
                        <a14:shadowObscured xmlns:a14="http://schemas.microsoft.com/office/drawing/2010/main"/>
                      </a:ext>
                    </a:extLst>
                  </pic:spPr>
                </pic:pic>
              </a:graphicData>
            </a:graphic>
          </wp:inline>
        </w:drawing>
      </w:r>
    </w:p>
    <w:p w:rsidR="0095785B" w:rsidRPr="00A51A7C" w:rsidRDefault="009B61E2" w:rsidP="00D658CB">
      <w:pPr>
        <w:spacing w:after="0" w:line="480" w:lineRule="auto"/>
        <w:rPr>
          <w:rFonts w:cs="Times"/>
        </w:rPr>
      </w:pPr>
      <w:r w:rsidRPr="00A51A7C">
        <w:rPr>
          <w:rFonts w:cs="Times"/>
          <w:noProof/>
          <w:lang w:val="es-ES_tradnl" w:eastAsia="es-ES_tradnl"/>
        </w:rPr>
        <w:drawing>
          <wp:anchor distT="0" distB="0" distL="114300" distR="114300" simplePos="0" relativeHeight="251658752" behindDoc="0" locked="0" layoutInCell="1" allowOverlap="1">
            <wp:simplePos x="0" y="0"/>
            <wp:positionH relativeFrom="column">
              <wp:posOffset>2138147</wp:posOffset>
            </wp:positionH>
            <wp:positionV relativeFrom="paragraph">
              <wp:posOffset>657430</wp:posOffset>
            </wp:positionV>
            <wp:extent cx="1668145" cy="272415"/>
            <wp:effectExtent l="0" t="0" r="0" b="0"/>
            <wp:wrapThrough wrapText="bothSides">
              <wp:wrapPolygon edited="0">
                <wp:start x="5920" y="0"/>
                <wp:lineTo x="0" y="3021"/>
                <wp:lineTo x="0" y="13594"/>
                <wp:lineTo x="5920" y="19636"/>
                <wp:lineTo x="9867" y="19636"/>
                <wp:lineTo x="21460" y="12084"/>
                <wp:lineTo x="21460" y="1510"/>
                <wp:lineTo x="11840" y="0"/>
                <wp:lineTo x="5920" y="0"/>
              </wp:wrapPolygon>
            </wp:wrapThrough>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35182" t="6" r="35648" b="28742"/>
                    <a:stretch/>
                  </pic:blipFill>
                  <pic:spPr bwMode="auto">
                    <a:xfrm>
                      <a:off x="0" y="0"/>
                      <a:ext cx="1668145" cy="2724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95785B" w:rsidRPr="00A51A7C">
        <w:rPr>
          <w:rFonts w:cs="Times"/>
        </w:rPr>
        <w:t>which</w:t>
      </w:r>
      <w:proofErr w:type="gramEnd"/>
      <w:r w:rsidR="0095785B" w:rsidRPr="00A51A7C">
        <w:rPr>
          <w:rFonts w:cs="Times"/>
        </w:rPr>
        <w:t xml:space="preserve"> can be achieved with 670 </w:t>
      </w:r>
      <w:proofErr w:type="spellStart"/>
      <w:r w:rsidR="0095785B" w:rsidRPr="00A51A7C">
        <w:rPr>
          <w:rFonts w:cs="Times"/>
        </w:rPr>
        <w:t>MBq</w:t>
      </w:r>
      <w:proofErr w:type="spellEnd"/>
      <w:r w:rsidR="0095785B" w:rsidRPr="00A51A7C">
        <w:rPr>
          <w:rFonts w:cs="Times"/>
        </w:rPr>
        <w:t xml:space="preserve"> </w:t>
      </w:r>
      <w:r w:rsidR="0095785B" w:rsidRPr="00A51A7C">
        <w:rPr>
          <w:rFonts w:cs="Times"/>
          <w:vertAlign w:val="superscript"/>
        </w:rPr>
        <w:t>153</w:t>
      </w:r>
      <w:r w:rsidR="0095785B" w:rsidRPr="00A51A7C">
        <w:rPr>
          <w:rFonts w:cs="Times"/>
        </w:rPr>
        <w:t xml:space="preserve">Sm@SWNT and 400 </w:t>
      </w:r>
      <w:proofErr w:type="spellStart"/>
      <w:r w:rsidR="0095785B" w:rsidRPr="00A51A7C">
        <w:rPr>
          <w:rFonts w:cs="Times"/>
        </w:rPr>
        <w:t>MBq</w:t>
      </w:r>
      <w:proofErr w:type="spellEnd"/>
      <w:r w:rsidR="0095785B" w:rsidRPr="00A51A7C">
        <w:rPr>
          <w:rFonts w:cs="Times"/>
        </w:rPr>
        <w:t xml:space="preserve"> </w:t>
      </w:r>
      <w:r w:rsidR="0095785B" w:rsidRPr="00A51A7C">
        <w:rPr>
          <w:rFonts w:cs="Times"/>
          <w:vertAlign w:val="superscript"/>
        </w:rPr>
        <w:t>153</w:t>
      </w:r>
      <w:r w:rsidR="0095785B" w:rsidRPr="00A51A7C">
        <w:rPr>
          <w:rFonts w:cs="Times"/>
        </w:rPr>
        <w:t xml:space="preserve">Sm@MWNT administered activity. If we consider the (perhaps) more realistic approximation that only 1% of tumor cells are </w:t>
      </w:r>
      <w:proofErr w:type="spellStart"/>
      <w:r w:rsidR="0095785B" w:rsidRPr="00A51A7C">
        <w:rPr>
          <w:rFonts w:cs="Times"/>
        </w:rPr>
        <w:t>clonogenic</w:t>
      </w:r>
      <w:proofErr w:type="spellEnd"/>
      <w:r w:rsidR="0095785B" w:rsidRPr="00A51A7C">
        <w:rPr>
          <w:rFonts w:cs="Times"/>
        </w:rPr>
        <w:t xml:space="preserve"> (</w:t>
      </w:r>
      <w:r w:rsidR="0095785B" w:rsidRPr="00A51A7C">
        <w:rPr>
          <w:rFonts w:cs="Times"/>
          <w:i/>
        </w:rPr>
        <w:t>i.e.</w:t>
      </w:r>
      <w:proofErr w:type="gramStart"/>
      <w:r w:rsidRPr="00A51A7C">
        <w:rPr>
          <w:rFonts w:cs="Times"/>
          <w:i/>
        </w:rPr>
        <w:t xml:space="preserve">, </w:t>
      </w:r>
      <w:r w:rsidRPr="00A51A7C">
        <w:rPr>
          <w:rFonts w:cs="Times"/>
        </w:rPr>
        <w:t xml:space="preserve"> </w:t>
      </w:r>
      <w:r w:rsidR="0095785B" w:rsidRPr="00A51A7C">
        <w:rPr>
          <w:rFonts w:cs="Times"/>
        </w:rPr>
        <w:t>)</w:t>
      </w:r>
      <w:proofErr w:type="gramEnd"/>
      <w:r w:rsidR="0095785B" w:rsidRPr="00A51A7C">
        <w:rPr>
          <w:rFonts w:cs="Times"/>
        </w:rPr>
        <w:t xml:space="preserve"> the corresponding administered activity values are 550 </w:t>
      </w:r>
      <w:proofErr w:type="spellStart"/>
      <w:r w:rsidR="0095785B" w:rsidRPr="00A51A7C">
        <w:rPr>
          <w:rFonts w:cs="Times"/>
        </w:rPr>
        <w:t>MBq</w:t>
      </w:r>
      <w:proofErr w:type="spellEnd"/>
      <w:r w:rsidR="0095785B" w:rsidRPr="00A51A7C">
        <w:rPr>
          <w:rFonts w:cs="Times"/>
        </w:rPr>
        <w:t xml:space="preserve"> </w:t>
      </w:r>
      <w:r w:rsidR="0095785B" w:rsidRPr="00A51A7C">
        <w:rPr>
          <w:rFonts w:cs="Times"/>
          <w:vertAlign w:val="superscript"/>
        </w:rPr>
        <w:t>153</w:t>
      </w:r>
      <w:r w:rsidR="0095785B" w:rsidRPr="00A51A7C">
        <w:rPr>
          <w:rFonts w:cs="Times"/>
        </w:rPr>
        <w:t xml:space="preserve">Sm@SWNT and 330 </w:t>
      </w:r>
      <w:r w:rsidR="0095785B" w:rsidRPr="00A51A7C">
        <w:rPr>
          <w:rFonts w:cs="Times"/>
          <w:vertAlign w:val="superscript"/>
        </w:rPr>
        <w:t>153</w:t>
      </w:r>
      <w:r w:rsidR="0095785B" w:rsidRPr="00A51A7C">
        <w:rPr>
          <w:rFonts w:cs="Times"/>
        </w:rPr>
        <w:t xml:space="preserve">Sm@MWNT. </w:t>
      </w:r>
    </w:p>
    <w:p w:rsidR="00A2310B" w:rsidRPr="00A51A7C" w:rsidRDefault="00A2310B" w:rsidP="00337337">
      <w:pPr>
        <w:pStyle w:val="TDAcknowledgments"/>
        <w:spacing w:before="0" w:after="0"/>
        <w:ind w:firstLine="0"/>
        <w:rPr>
          <w:rFonts w:cs="Times"/>
        </w:rPr>
      </w:pPr>
    </w:p>
    <w:p w:rsidR="0031077D" w:rsidRPr="00A51A7C" w:rsidRDefault="0031077D" w:rsidP="000B5610">
      <w:pPr>
        <w:pStyle w:val="TAMainText"/>
        <w:spacing w:after="240"/>
        <w:ind w:firstLine="0"/>
        <w:jc w:val="left"/>
        <w:rPr>
          <w:rFonts w:cs="Times"/>
        </w:rPr>
      </w:pPr>
    </w:p>
    <w:p w:rsidR="001706C8" w:rsidRPr="00A51A7C" w:rsidRDefault="001706C8" w:rsidP="000B5610">
      <w:pPr>
        <w:pStyle w:val="TAMainText"/>
        <w:spacing w:after="240"/>
        <w:ind w:firstLine="0"/>
        <w:jc w:val="left"/>
        <w:rPr>
          <w:rFonts w:cs="Times"/>
        </w:rPr>
      </w:pPr>
    </w:p>
    <w:p w:rsidR="001706C8" w:rsidRPr="00A51A7C" w:rsidRDefault="001706C8" w:rsidP="000B5610">
      <w:pPr>
        <w:pStyle w:val="TAMainText"/>
        <w:spacing w:after="240"/>
        <w:ind w:firstLine="0"/>
        <w:jc w:val="left"/>
        <w:rPr>
          <w:rFonts w:cs="Times"/>
        </w:rPr>
      </w:pPr>
    </w:p>
    <w:p w:rsidR="001706C8" w:rsidRPr="00A51A7C" w:rsidRDefault="001706C8" w:rsidP="000B5610">
      <w:pPr>
        <w:pStyle w:val="TAMainText"/>
        <w:spacing w:after="240"/>
        <w:ind w:firstLine="0"/>
        <w:jc w:val="left"/>
        <w:rPr>
          <w:rFonts w:cs="Times"/>
        </w:rPr>
      </w:pPr>
    </w:p>
    <w:p w:rsidR="001706C8" w:rsidRPr="00A51A7C" w:rsidRDefault="001706C8" w:rsidP="000B5610">
      <w:pPr>
        <w:pStyle w:val="TAMainText"/>
        <w:spacing w:after="240"/>
        <w:ind w:firstLine="0"/>
        <w:jc w:val="left"/>
        <w:rPr>
          <w:rFonts w:cs="Times"/>
        </w:rPr>
      </w:pPr>
    </w:p>
    <w:p w:rsidR="001706C8" w:rsidRPr="00A51A7C" w:rsidRDefault="001706C8" w:rsidP="000B5610">
      <w:pPr>
        <w:pStyle w:val="TAMainText"/>
        <w:spacing w:after="240"/>
        <w:ind w:firstLine="0"/>
        <w:jc w:val="left"/>
        <w:rPr>
          <w:rFonts w:cs="Times"/>
        </w:rPr>
      </w:pPr>
    </w:p>
    <w:p w:rsidR="001706C8" w:rsidRPr="00A51A7C" w:rsidRDefault="001706C8" w:rsidP="000B5610">
      <w:pPr>
        <w:pStyle w:val="TAMainText"/>
        <w:spacing w:after="240"/>
        <w:ind w:firstLine="0"/>
        <w:jc w:val="left"/>
        <w:rPr>
          <w:rFonts w:cs="Times"/>
        </w:rPr>
      </w:pPr>
    </w:p>
    <w:p w:rsidR="001706C8" w:rsidRPr="00A51A7C" w:rsidRDefault="001706C8" w:rsidP="000B5610">
      <w:pPr>
        <w:pStyle w:val="TAMainText"/>
        <w:spacing w:after="240"/>
        <w:ind w:firstLine="0"/>
        <w:jc w:val="left"/>
        <w:rPr>
          <w:rFonts w:cs="Times"/>
        </w:rPr>
      </w:pPr>
    </w:p>
    <w:p w:rsidR="00AB34C5" w:rsidRPr="00A51A7C" w:rsidRDefault="00AB34C5" w:rsidP="00AB34C5">
      <w:pPr>
        <w:pStyle w:val="VAFigureCaption"/>
        <w:spacing w:after="240"/>
        <w:jc w:val="left"/>
        <w:rPr>
          <w:rFonts w:cs="Times"/>
        </w:rPr>
      </w:pPr>
      <w:r w:rsidRPr="00A51A7C">
        <w:rPr>
          <w:rFonts w:cs="Times"/>
        </w:rPr>
        <w:t xml:space="preserve">FIGURES </w:t>
      </w:r>
    </w:p>
    <w:p w:rsidR="0031077D" w:rsidRPr="00A51A7C" w:rsidRDefault="0031077D" w:rsidP="0031077D">
      <w:pPr>
        <w:pStyle w:val="Literature"/>
        <w:rPr>
          <w:rFonts w:ascii="Times" w:hAnsi="Times" w:cs="Times"/>
          <w:b/>
          <w:lang w:val="en-US"/>
        </w:rPr>
      </w:pPr>
      <w:r w:rsidRPr="00A51A7C">
        <w:rPr>
          <w:rFonts w:ascii="Times" w:hAnsi="Times" w:cs="Times"/>
          <w:b/>
          <w:noProof/>
          <w:lang w:val="es-ES_tradnl" w:eastAsia="es-ES_tradnl"/>
        </w:rPr>
        <w:lastRenderedPageBreak/>
        <w:drawing>
          <wp:inline distT="0" distB="0" distL="0" distR="0">
            <wp:extent cx="5760720" cy="5609590"/>
            <wp:effectExtent l="0" t="0" r="0" b="0"/>
            <wp:docPr id="12" name="11 Imagen" descr="Figure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emf"/>
                    <pic:cNvPicPr/>
                  </pic:nvPicPr>
                  <pic:blipFill>
                    <a:blip r:embed="rId63" cstate="print"/>
                    <a:stretch>
                      <a:fillRect/>
                    </a:stretch>
                  </pic:blipFill>
                  <pic:spPr>
                    <a:xfrm>
                      <a:off x="0" y="0"/>
                      <a:ext cx="5760720" cy="5609590"/>
                    </a:xfrm>
                    <a:prstGeom prst="rect">
                      <a:avLst/>
                    </a:prstGeom>
                  </pic:spPr>
                </pic:pic>
              </a:graphicData>
            </a:graphic>
          </wp:inline>
        </w:drawing>
      </w:r>
    </w:p>
    <w:p w:rsidR="0031077D" w:rsidRPr="00A51A7C" w:rsidRDefault="0031077D" w:rsidP="006C3AC3">
      <w:pPr>
        <w:spacing w:afterLines="200" w:after="480" w:line="480" w:lineRule="auto"/>
        <w:rPr>
          <w:rFonts w:cs="Times"/>
          <w:kern w:val="24"/>
        </w:rPr>
      </w:pPr>
      <w:r w:rsidRPr="00A51A7C">
        <w:rPr>
          <w:rFonts w:cs="Times"/>
          <w:b/>
        </w:rPr>
        <w:t>Figure 1.</w:t>
      </w:r>
      <w:r w:rsidRPr="00A51A7C">
        <w:rPr>
          <w:rFonts w:cs="Times"/>
          <w:b/>
          <w:bCs/>
        </w:rPr>
        <w:t xml:space="preserve"> </w:t>
      </w:r>
      <w:r w:rsidRPr="00A51A7C">
        <w:rPr>
          <w:rFonts w:cs="Times"/>
          <w:bCs/>
        </w:rPr>
        <w:t xml:space="preserve">Preparation and characterization of carbon nanocapsules. a) </w:t>
      </w:r>
      <w:r w:rsidRPr="00A51A7C">
        <w:rPr>
          <w:rFonts w:cs="Times"/>
        </w:rPr>
        <w:t>Schematic representation of the strategy employed for the preparation of ‘hot’ nanocapsules. A non-radioactive enriched precursor is initially encapsulated (</w:t>
      </w:r>
      <w:r w:rsidRPr="00A51A7C">
        <w:rPr>
          <w:rFonts w:cs="Times"/>
          <w:vertAlign w:val="superscript"/>
        </w:rPr>
        <w:t>152</w:t>
      </w:r>
      <w:r w:rsidRPr="00A51A7C">
        <w:rPr>
          <w:rFonts w:cs="Times"/>
        </w:rPr>
        <w:t>Sm) and it is activated into its radioactive form by neutron irradiation (</w:t>
      </w:r>
      <w:r w:rsidRPr="00A51A7C">
        <w:rPr>
          <w:rFonts w:cs="Times"/>
          <w:vertAlign w:val="superscript"/>
        </w:rPr>
        <w:t>153</w:t>
      </w:r>
      <w:r w:rsidRPr="00A51A7C">
        <w:rPr>
          <w:rFonts w:cs="Times"/>
        </w:rPr>
        <w:t>Sm) in the last step. The wavy lines indicate radioactivity emerging from radionuclides (</w:t>
      </w:r>
      <w:r w:rsidRPr="00A51A7C">
        <w:rPr>
          <w:rFonts w:cs="Times"/>
          <w:vertAlign w:val="superscript"/>
        </w:rPr>
        <w:t>153</w:t>
      </w:r>
      <w:r w:rsidRPr="00A51A7C">
        <w:rPr>
          <w:rFonts w:cs="Times"/>
        </w:rPr>
        <w:t>Sm). b)</w:t>
      </w:r>
      <w:r w:rsidRPr="00A51A7C">
        <w:rPr>
          <w:rFonts w:eastAsia="+mn-ea" w:cs="Times"/>
          <w:b/>
          <w:bCs/>
          <w:kern w:val="24"/>
        </w:rPr>
        <w:t xml:space="preserve"> </w:t>
      </w:r>
      <w:r w:rsidRPr="00A51A7C">
        <w:rPr>
          <w:rFonts w:eastAsia="+mn-ea" w:cs="Times"/>
          <w:bCs/>
          <w:kern w:val="24"/>
        </w:rPr>
        <w:t>Structural characterization of Sm-filled CNTs before (‘Cold’ nanocapsules) and after (‘Hot’ nanocapsules) irradiation. HRTEM images are shown in the top panels. Black arrows point to the SmCl</w:t>
      </w:r>
      <w:r w:rsidRPr="00A51A7C">
        <w:rPr>
          <w:rFonts w:eastAsia="+mn-ea" w:cs="Times"/>
          <w:bCs/>
          <w:kern w:val="24"/>
          <w:vertAlign w:val="subscript"/>
        </w:rPr>
        <w:t xml:space="preserve">3 </w:t>
      </w:r>
      <w:r w:rsidRPr="00A51A7C">
        <w:rPr>
          <w:rFonts w:eastAsia="+mn-ea" w:cs="Times"/>
          <w:bCs/>
          <w:kern w:val="24"/>
        </w:rPr>
        <w:t xml:space="preserve">filling, and white arrows to closed tips of carbon </w:t>
      </w:r>
      <w:r w:rsidRPr="00A51A7C">
        <w:rPr>
          <w:rFonts w:eastAsia="+mn-ea" w:cs="Times"/>
          <w:bCs/>
          <w:kern w:val="24"/>
        </w:rPr>
        <w:lastRenderedPageBreak/>
        <w:t>nanotubes. The crystalline structure of SmCl</w:t>
      </w:r>
      <w:r w:rsidRPr="00A51A7C">
        <w:rPr>
          <w:rFonts w:eastAsia="+mn-ea" w:cs="Times"/>
          <w:bCs/>
          <w:kern w:val="24"/>
          <w:vertAlign w:val="subscript"/>
        </w:rPr>
        <w:t>3</w:t>
      </w:r>
      <w:r w:rsidRPr="00A51A7C">
        <w:rPr>
          <w:rFonts w:eastAsia="+mn-ea" w:cs="Times"/>
          <w:bCs/>
          <w:kern w:val="24"/>
        </w:rPr>
        <w:t xml:space="preserve"> can be better appreciated on the MWNT images, with visible lattice fringes (parallel lines). HAADF-STEM images are shown in the middle panels. The bright lines correspond to the filling of SmCl</w:t>
      </w:r>
      <w:r w:rsidRPr="00A51A7C">
        <w:rPr>
          <w:rFonts w:eastAsia="+mn-ea" w:cs="Times"/>
          <w:bCs/>
          <w:kern w:val="24"/>
          <w:vertAlign w:val="subscript"/>
        </w:rPr>
        <w:t>3</w:t>
      </w:r>
      <w:r w:rsidRPr="00A51A7C">
        <w:rPr>
          <w:rFonts w:eastAsia="+mn-ea" w:cs="Times"/>
          <w:bCs/>
          <w:kern w:val="24"/>
        </w:rPr>
        <w:t>, while CNTs appear as a dim grey contrast. EDX analyses confirming the presence of SmCl</w:t>
      </w:r>
      <w:r w:rsidRPr="00A51A7C">
        <w:rPr>
          <w:rFonts w:eastAsia="+mn-ea" w:cs="Times"/>
          <w:bCs/>
          <w:kern w:val="24"/>
          <w:vertAlign w:val="subscript"/>
        </w:rPr>
        <w:t>3</w:t>
      </w:r>
      <w:r w:rsidRPr="00A51A7C">
        <w:rPr>
          <w:rFonts w:eastAsia="+mn-ea" w:cs="Times"/>
          <w:bCs/>
          <w:kern w:val="24"/>
        </w:rPr>
        <w:t xml:space="preserve"> are shown in the bottom panels.</w:t>
      </w:r>
    </w:p>
    <w:p w:rsidR="0031077D" w:rsidRPr="00A51A7C" w:rsidRDefault="0031077D" w:rsidP="006C3AC3">
      <w:pPr>
        <w:spacing w:afterLines="200" w:after="480" w:line="480" w:lineRule="auto"/>
        <w:rPr>
          <w:rFonts w:cs="Times"/>
        </w:rPr>
      </w:pPr>
    </w:p>
    <w:p w:rsidR="00873B91" w:rsidRPr="00A51A7C" w:rsidRDefault="00873B91" w:rsidP="006C3AC3">
      <w:pPr>
        <w:tabs>
          <w:tab w:val="left" w:pos="2940"/>
        </w:tabs>
        <w:spacing w:afterLines="200" w:after="480" w:line="480" w:lineRule="auto"/>
        <w:rPr>
          <w:rFonts w:cs="Times"/>
        </w:rPr>
      </w:pPr>
    </w:p>
    <w:p w:rsidR="008E09C9" w:rsidRPr="00A51A7C" w:rsidRDefault="008E09C9" w:rsidP="006C3AC3">
      <w:pPr>
        <w:tabs>
          <w:tab w:val="left" w:pos="2940"/>
        </w:tabs>
        <w:spacing w:afterLines="200" w:after="480" w:line="480" w:lineRule="auto"/>
        <w:rPr>
          <w:rFonts w:cs="Times"/>
        </w:rPr>
      </w:pPr>
    </w:p>
    <w:p w:rsidR="00873B91" w:rsidRPr="00A51A7C" w:rsidRDefault="00873B91" w:rsidP="006C3AC3">
      <w:pPr>
        <w:tabs>
          <w:tab w:val="left" w:pos="2940"/>
        </w:tabs>
        <w:spacing w:afterLines="200" w:after="480" w:line="480" w:lineRule="auto"/>
        <w:rPr>
          <w:rFonts w:cs="Times"/>
        </w:rPr>
      </w:pPr>
    </w:p>
    <w:p w:rsidR="00873B91" w:rsidRPr="00A51A7C" w:rsidRDefault="00873B91" w:rsidP="006C3AC3">
      <w:pPr>
        <w:tabs>
          <w:tab w:val="left" w:pos="2940"/>
        </w:tabs>
        <w:spacing w:afterLines="200" w:after="480" w:line="480" w:lineRule="auto"/>
        <w:rPr>
          <w:rFonts w:cs="Times"/>
        </w:rPr>
      </w:pPr>
    </w:p>
    <w:p w:rsidR="0031077D" w:rsidRPr="00A51A7C" w:rsidRDefault="0031077D" w:rsidP="006C3AC3">
      <w:pPr>
        <w:spacing w:afterLines="200" w:after="480" w:line="480" w:lineRule="auto"/>
        <w:rPr>
          <w:rFonts w:cs="Times"/>
        </w:rPr>
      </w:pPr>
    </w:p>
    <w:p w:rsidR="0031077D" w:rsidRPr="00A51A7C" w:rsidRDefault="0031077D" w:rsidP="006C3AC3">
      <w:pPr>
        <w:spacing w:afterLines="200" w:after="480" w:line="480" w:lineRule="auto"/>
        <w:rPr>
          <w:rFonts w:cs="Times"/>
          <w:bCs/>
        </w:rPr>
      </w:pPr>
      <w:r w:rsidRPr="00A51A7C">
        <w:rPr>
          <w:rFonts w:cs="Times"/>
          <w:bCs/>
          <w:noProof/>
          <w:lang w:val="es-ES_tradnl" w:eastAsia="es-ES_tradnl"/>
        </w:rPr>
        <w:drawing>
          <wp:inline distT="0" distB="0" distL="0" distR="0">
            <wp:extent cx="5760000" cy="2561135"/>
            <wp:effectExtent l="0" t="0" r="0" b="0"/>
            <wp:docPr id="7" name="Imagen 4" descr="D:\Articles meus\152Sm\1-Khuloud\Figures\Figure3.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rticles meus\152Sm\1-Khuloud\Figures\Figure3.emf"/>
                    <pic:cNvPicPr>
                      <a:picLocks noChangeAspect="1" noChangeArrowheads="1"/>
                    </pic:cNvPicPr>
                  </pic:nvPicPr>
                  <pic:blipFill>
                    <a:blip r:embed="rId64" cstate="print"/>
                    <a:srcRect/>
                    <a:stretch>
                      <a:fillRect/>
                    </a:stretch>
                  </pic:blipFill>
                  <pic:spPr bwMode="auto">
                    <a:xfrm>
                      <a:off x="0" y="0"/>
                      <a:ext cx="5760000" cy="2561135"/>
                    </a:xfrm>
                    <a:prstGeom prst="rect">
                      <a:avLst/>
                    </a:prstGeom>
                    <a:noFill/>
                    <a:ln w="9525">
                      <a:noFill/>
                      <a:miter lim="800000"/>
                      <a:headEnd/>
                      <a:tailEnd/>
                    </a:ln>
                  </pic:spPr>
                </pic:pic>
              </a:graphicData>
            </a:graphic>
          </wp:inline>
        </w:drawing>
      </w:r>
    </w:p>
    <w:p w:rsidR="0031077D" w:rsidRPr="00A51A7C" w:rsidRDefault="0031077D" w:rsidP="006C3AC3">
      <w:pPr>
        <w:spacing w:afterLines="200" w:after="480" w:line="480" w:lineRule="auto"/>
        <w:rPr>
          <w:rFonts w:cs="Times"/>
        </w:rPr>
      </w:pPr>
      <w:r w:rsidRPr="00A51A7C">
        <w:rPr>
          <w:rFonts w:eastAsia="+mn-ea" w:cs="Times"/>
          <w:b/>
          <w:bCs/>
          <w:kern w:val="24"/>
        </w:rPr>
        <w:lastRenderedPageBreak/>
        <w:t xml:space="preserve">Figure 2. </w:t>
      </w:r>
      <w:r w:rsidRPr="00A51A7C">
        <w:rPr>
          <w:rFonts w:eastAsia="+mn-ea" w:cs="Times"/>
          <w:bCs/>
          <w:kern w:val="24"/>
        </w:rPr>
        <w:t xml:space="preserve">Whole body SPECT/CT imaging and tissue </w:t>
      </w:r>
      <w:proofErr w:type="spellStart"/>
      <w:r w:rsidRPr="00A51A7C">
        <w:rPr>
          <w:rFonts w:eastAsia="+mn-ea" w:cs="Times"/>
          <w:bCs/>
          <w:kern w:val="24"/>
        </w:rPr>
        <w:t>biodistribution</w:t>
      </w:r>
      <w:proofErr w:type="spellEnd"/>
      <w:r w:rsidRPr="00A51A7C">
        <w:rPr>
          <w:rFonts w:eastAsia="+mn-ea" w:cs="Times"/>
          <w:bCs/>
          <w:kern w:val="24"/>
        </w:rPr>
        <w:t xml:space="preserve"> of </w:t>
      </w:r>
      <w:r w:rsidRPr="00A51A7C">
        <w:rPr>
          <w:rFonts w:cs="Times"/>
          <w:bCs/>
          <w:vertAlign w:val="superscript"/>
        </w:rPr>
        <w:t>153</w:t>
      </w:r>
      <w:r w:rsidRPr="00A51A7C">
        <w:rPr>
          <w:rFonts w:cs="Times"/>
          <w:bCs/>
        </w:rPr>
        <w:t>Sm</w:t>
      </w:r>
      <w:r w:rsidRPr="00A51A7C">
        <w:rPr>
          <w:rFonts w:eastAsia="+mn-ea" w:cs="Times"/>
          <w:bCs/>
          <w:kern w:val="24"/>
        </w:rPr>
        <w:t xml:space="preserve">@SWNT and </w:t>
      </w:r>
      <w:r w:rsidRPr="00A51A7C">
        <w:rPr>
          <w:rFonts w:cs="Times"/>
          <w:bCs/>
          <w:vertAlign w:val="superscript"/>
        </w:rPr>
        <w:t>153</w:t>
      </w:r>
      <w:r w:rsidRPr="00A51A7C">
        <w:rPr>
          <w:rFonts w:cs="Times"/>
          <w:bCs/>
        </w:rPr>
        <w:t>Sm</w:t>
      </w:r>
      <w:r w:rsidRPr="00A51A7C">
        <w:rPr>
          <w:rFonts w:eastAsia="+mn-ea" w:cs="Times"/>
          <w:bCs/>
          <w:kern w:val="24"/>
        </w:rPr>
        <w:t xml:space="preserve">@MWNT in mice up to 24 h. a) SPECT/CT imaging, b) </w:t>
      </w:r>
      <w:r w:rsidRPr="00A51A7C">
        <w:rPr>
          <w:rFonts w:cs="Times"/>
          <w:bCs/>
        </w:rPr>
        <w:t>blood circulation, c)</w:t>
      </w:r>
      <w:r w:rsidRPr="00A51A7C">
        <w:rPr>
          <w:rFonts w:eastAsia="+mn-ea" w:cs="Times"/>
          <w:kern w:val="24"/>
        </w:rPr>
        <w:t xml:space="preserve"> excretion profiles and d) tissue </w:t>
      </w:r>
      <w:proofErr w:type="spellStart"/>
      <w:r w:rsidRPr="00A51A7C">
        <w:rPr>
          <w:rFonts w:eastAsia="+mn-ea" w:cs="Times"/>
          <w:kern w:val="24"/>
        </w:rPr>
        <w:t>biodistribution</w:t>
      </w:r>
      <w:proofErr w:type="spellEnd"/>
      <w:r w:rsidRPr="00A51A7C">
        <w:rPr>
          <w:rFonts w:eastAsia="+mn-ea" w:cs="Times"/>
          <w:kern w:val="24"/>
        </w:rPr>
        <w:t xml:space="preserve"> profiles. </w:t>
      </w:r>
      <w:r w:rsidRPr="00A51A7C">
        <w:rPr>
          <w:rFonts w:eastAsia="+mn-ea" w:cs="Times"/>
          <w:bCs/>
          <w:kern w:val="24"/>
        </w:rPr>
        <w:t xml:space="preserve">C57BL/6 </w:t>
      </w:r>
      <w:r w:rsidRPr="00A51A7C">
        <w:rPr>
          <w:rFonts w:eastAsia="+mn-ea" w:cs="Times"/>
          <w:kern w:val="24"/>
        </w:rPr>
        <w:t xml:space="preserve">mice were </w:t>
      </w:r>
      <w:proofErr w:type="spellStart"/>
      <w:r w:rsidRPr="00A51A7C">
        <w:rPr>
          <w:rFonts w:eastAsia="+mn-ea" w:cs="Times"/>
          <w:kern w:val="24"/>
        </w:rPr>
        <w:t>i.v.</w:t>
      </w:r>
      <w:proofErr w:type="spellEnd"/>
      <w:r w:rsidRPr="00A51A7C">
        <w:rPr>
          <w:rFonts w:eastAsia="+mn-ea" w:cs="Times"/>
          <w:kern w:val="24"/>
        </w:rPr>
        <w:t xml:space="preserve"> injected with 200 µg of EDTA-quenched </w:t>
      </w:r>
      <w:r w:rsidRPr="00A51A7C">
        <w:rPr>
          <w:rFonts w:cs="Times"/>
          <w:bCs/>
          <w:vertAlign w:val="superscript"/>
        </w:rPr>
        <w:t>153</w:t>
      </w:r>
      <w:r w:rsidRPr="00A51A7C">
        <w:rPr>
          <w:rFonts w:cs="Times"/>
          <w:bCs/>
        </w:rPr>
        <w:t>Sm</w:t>
      </w:r>
      <w:r w:rsidRPr="00A51A7C">
        <w:rPr>
          <w:rFonts w:eastAsia="+mn-ea" w:cs="Times"/>
          <w:kern w:val="24"/>
        </w:rPr>
        <w:t xml:space="preserve">@SWNT or </w:t>
      </w:r>
      <w:r w:rsidRPr="00A51A7C">
        <w:rPr>
          <w:rFonts w:cs="Times"/>
          <w:bCs/>
          <w:vertAlign w:val="superscript"/>
        </w:rPr>
        <w:t>153</w:t>
      </w:r>
      <w:r w:rsidRPr="00A51A7C">
        <w:rPr>
          <w:rFonts w:cs="Times"/>
          <w:bCs/>
        </w:rPr>
        <w:t>Sm</w:t>
      </w:r>
      <w:r w:rsidRPr="00A51A7C">
        <w:rPr>
          <w:rFonts w:eastAsia="+mn-ea" w:cs="Times"/>
          <w:kern w:val="24"/>
        </w:rPr>
        <w:t xml:space="preserve">@MWNT containing 10 </w:t>
      </w:r>
      <w:proofErr w:type="spellStart"/>
      <w:r w:rsidRPr="00A51A7C">
        <w:rPr>
          <w:rFonts w:eastAsia="+mn-ea" w:cs="Times"/>
          <w:kern w:val="24"/>
        </w:rPr>
        <w:t>MBq</w:t>
      </w:r>
      <w:proofErr w:type="spellEnd"/>
      <w:r w:rsidRPr="00A51A7C">
        <w:rPr>
          <w:rFonts w:eastAsia="+mn-ea" w:cs="Times"/>
          <w:kern w:val="24"/>
        </w:rPr>
        <w:t xml:space="preserve"> or ~1 </w:t>
      </w:r>
      <w:proofErr w:type="spellStart"/>
      <w:r w:rsidRPr="00A51A7C">
        <w:rPr>
          <w:rFonts w:eastAsia="+mn-ea" w:cs="Times"/>
          <w:kern w:val="24"/>
        </w:rPr>
        <w:t>MBq</w:t>
      </w:r>
      <w:proofErr w:type="spellEnd"/>
      <w:r w:rsidRPr="00A51A7C">
        <w:rPr>
          <w:rFonts w:eastAsia="+mn-ea" w:cs="Times"/>
          <w:kern w:val="24"/>
        </w:rPr>
        <w:t xml:space="preserve"> for SPECT/CT imaging or </w:t>
      </w:r>
      <w:r w:rsidRPr="00A51A7C">
        <w:rPr>
          <w:rFonts w:cs="Times"/>
        </w:rPr>
        <w:t>γ-scintigraphy</w:t>
      </w:r>
      <w:r w:rsidRPr="00A51A7C">
        <w:rPr>
          <w:rFonts w:eastAsia="+mn-ea" w:cs="Times"/>
          <w:kern w:val="24"/>
        </w:rPr>
        <w:t>, respectively. In</w:t>
      </w:r>
      <w:r w:rsidRPr="00A51A7C">
        <w:rPr>
          <w:rFonts w:cs="Times"/>
          <w:bCs/>
        </w:rPr>
        <w:t xml:space="preserve"> excretion studies, mice were housed individually in metabolic cages for 24 h immediately after injection. The radioactivity in blood, major organs sampled at specified time points and urine/feces collected at 24 h post injection, was measured by γ-scintigraphy. The results are expressed as mean ± S.D. (n=3-4).</w:t>
      </w:r>
    </w:p>
    <w:p w:rsidR="0031077D" w:rsidRPr="00A51A7C" w:rsidRDefault="0031077D" w:rsidP="006C3AC3">
      <w:pPr>
        <w:spacing w:afterLines="200" w:after="480" w:line="480" w:lineRule="auto"/>
        <w:rPr>
          <w:rFonts w:cs="Times"/>
        </w:rPr>
      </w:pPr>
    </w:p>
    <w:p w:rsidR="0031077D" w:rsidRPr="00A51A7C" w:rsidRDefault="0031077D" w:rsidP="006C3AC3">
      <w:pPr>
        <w:spacing w:afterLines="200" w:after="480" w:line="480" w:lineRule="auto"/>
        <w:rPr>
          <w:rFonts w:cs="Times"/>
        </w:rPr>
      </w:pPr>
    </w:p>
    <w:p w:rsidR="0031077D" w:rsidRPr="00A51A7C" w:rsidRDefault="00905DA9" w:rsidP="006C3AC3">
      <w:pPr>
        <w:spacing w:afterLines="200" w:after="480" w:line="480" w:lineRule="auto"/>
        <w:rPr>
          <w:rFonts w:cs="Times"/>
          <w:noProof/>
          <w:lang w:eastAsia="es-ES"/>
        </w:rPr>
      </w:pPr>
      <w:r w:rsidRPr="00A51A7C">
        <w:rPr>
          <w:rFonts w:cs="Times"/>
          <w:noProof/>
          <w:lang w:val="es-ES_tradnl" w:eastAsia="es-ES_tradnl"/>
        </w:rPr>
        <w:lastRenderedPageBreak/>
        <w:drawing>
          <wp:inline distT="0" distB="0" distL="0" distR="0">
            <wp:extent cx="5943600" cy="6410815"/>
            <wp:effectExtent l="0" t="0" r="0" b="0"/>
            <wp:docPr id="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srcRect/>
                    <a:stretch>
                      <a:fillRect/>
                    </a:stretch>
                  </pic:blipFill>
                  <pic:spPr bwMode="auto">
                    <a:xfrm>
                      <a:off x="0" y="0"/>
                      <a:ext cx="5943600" cy="6410815"/>
                    </a:xfrm>
                    <a:prstGeom prst="rect">
                      <a:avLst/>
                    </a:prstGeom>
                    <a:noFill/>
                    <a:ln w="9525">
                      <a:noFill/>
                      <a:miter lim="800000"/>
                      <a:headEnd/>
                      <a:tailEnd/>
                    </a:ln>
                  </pic:spPr>
                </pic:pic>
              </a:graphicData>
            </a:graphic>
          </wp:inline>
        </w:drawing>
      </w:r>
    </w:p>
    <w:p w:rsidR="0031077D" w:rsidRPr="00A51A7C" w:rsidRDefault="0031077D" w:rsidP="006C3AC3">
      <w:pPr>
        <w:spacing w:afterLines="200" w:after="480" w:line="480" w:lineRule="auto"/>
        <w:rPr>
          <w:rFonts w:eastAsia="+mn-ea" w:cs="Times"/>
          <w:iCs/>
          <w:kern w:val="24"/>
        </w:rPr>
      </w:pPr>
      <w:r w:rsidRPr="00A51A7C">
        <w:rPr>
          <w:rFonts w:eastAsia="+mn-ea" w:cs="Times"/>
          <w:b/>
          <w:bCs/>
          <w:kern w:val="24"/>
        </w:rPr>
        <w:t xml:space="preserve">Figure 3. </w:t>
      </w:r>
      <w:r w:rsidRPr="00A51A7C">
        <w:rPr>
          <w:rFonts w:eastAsia="+mn-ea" w:cs="Times"/>
          <w:bCs/>
          <w:kern w:val="24"/>
        </w:rPr>
        <w:t xml:space="preserve">Tumor growth delay studies in </w:t>
      </w:r>
      <w:r w:rsidRPr="00A51A7C">
        <w:rPr>
          <w:rFonts w:cs="Times"/>
          <w:bCs/>
        </w:rPr>
        <w:t>experimental metastatic lung tumor mice model</w:t>
      </w:r>
      <w:r w:rsidRPr="00A51A7C">
        <w:rPr>
          <w:rFonts w:eastAsia="+mn-ea" w:cs="Times"/>
          <w:bCs/>
          <w:kern w:val="24"/>
        </w:rPr>
        <w:t xml:space="preserve"> after internal</w:t>
      </w:r>
      <w:r w:rsidRPr="00A51A7C">
        <w:rPr>
          <w:rFonts w:eastAsia="+mn-ea" w:cs="Times"/>
          <w:bCs/>
          <w:i/>
          <w:iCs/>
          <w:kern w:val="24"/>
        </w:rPr>
        <w:t xml:space="preserve"> </w:t>
      </w:r>
      <w:r w:rsidRPr="00A51A7C">
        <w:rPr>
          <w:rFonts w:eastAsia="+mn-ea" w:cs="Times"/>
          <w:bCs/>
          <w:iCs/>
          <w:kern w:val="24"/>
        </w:rPr>
        <w:t xml:space="preserve">administration of </w:t>
      </w:r>
      <w:r w:rsidRPr="00A51A7C">
        <w:rPr>
          <w:rFonts w:eastAsia="+mn-ea" w:cs="Times"/>
          <w:bCs/>
          <w:kern w:val="24"/>
        </w:rPr>
        <w:t>radiotherapy. B16F10-Luc tumor-bearing C57BL/6 mice</w:t>
      </w:r>
      <w:r w:rsidRPr="00A51A7C">
        <w:rPr>
          <w:rFonts w:eastAsia="+mn-ea" w:cs="Times"/>
          <w:b/>
          <w:bCs/>
          <w:kern w:val="24"/>
        </w:rPr>
        <w:t xml:space="preserve"> </w:t>
      </w:r>
      <w:r w:rsidRPr="00A51A7C">
        <w:rPr>
          <w:rFonts w:eastAsia="+mn-ea" w:cs="Times"/>
          <w:kern w:val="24"/>
        </w:rPr>
        <w:t xml:space="preserve">received a single </w:t>
      </w:r>
      <w:proofErr w:type="spellStart"/>
      <w:r w:rsidRPr="00A51A7C">
        <w:rPr>
          <w:rFonts w:eastAsia="+mn-ea" w:cs="Times"/>
          <w:kern w:val="24"/>
        </w:rPr>
        <w:t>i.v.</w:t>
      </w:r>
      <w:proofErr w:type="spellEnd"/>
      <w:r w:rsidRPr="00A51A7C">
        <w:rPr>
          <w:rFonts w:eastAsia="+mn-ea" w:cs="Times"/>
          <w:kern w:val="24"/>
        </w:rPr>
        <w:t xml:space="preserve"> injection of </w:t>
      </w:r>
      <w:r w:rsidRPr="00A51A7C">
        <w:rPr>
          <w:rFonts w:eastAsia="+mn-ea" w:cs="Times"/>
          <w:kern w:val="24"/>
          <w:vertAlign w:val="superscript"/>
        </w:rPr>
        <w:t>153</w:t>
      </w:r>
      <w:r w:rsidRPr="00A51A7C">
        <w:rPr>
          <w:rFonts w:eastAsia="+mn-ea" w:cs="Times"/>
          <w:kern w:val="24"/>
        </w:rPr>
        <w:t xml:space="preserve">Sm@SWNT or </w:t>
      </w:r>
      <w:r w:rsidRPr="00A51A7C">
        <w:rPr>
          <w:rFonts w:eastAsia="+mn-ea" w:cs="Times"/>
          <w:kern w:val="24"/>
          <w:vertAlign w:val="superscript"/>
        </w:rPr>
        <w:t>153</w:t>
      </w:r>
      <w:r w:rsidRPr="00A51A7C">
        <w:rPr>
          <w:rFonts w:eastAsia="+mn-ea" w:cs="Times"/>
          <w:kern w:val="24"/>
        </w:rPr>
        <w:t xml:space="preserve">Sm@MWNT (20 </w:t>
      </w:r>
      <w:proofErr w:type="spellStart"/>
      <w:r w:rsidRPr="00A51A7C">
        <w:rPr>
          <w:rFonts w:eastAsia="+mn-ea" w:cs="Times"/>
          <w:kern w:val="24"/>
        </w:rPr>
        <w:t>MBq</w:t>
      </w:r>
      <w:proofErr w:type="spellEnd"/>
      <w:r w:rsidRPr="00A51A7C">
        <w:rPr>
          <w:rFonts w:eastAsia="+mn-ea" w:cs="Times"/>
          <w:kern w:val="24"/>
        </w:rPr>
        <w:t xml:space="preserve">, 200 µg) on day 8 post-tumor inoculation. </w:t>
      </w:r>
      <w:r w:rsidRPr="00A51A7C">
        <w:rPr>
          <w:rFonts w:eastAsia="+mn-ea" w:cs="Times"/>
          <w:bCs/>
          <w:kern w:val="24"/>
        </w:rPr>
        <w:t>a)</w:t>
      </w:r>
      <w:r w:rsidRPr="00A51A7C">
        <w:rPr>
          <w:rFonts w:eastAsia="+mn-ea" w:cs="Times"/>
          <w:kern w:val="24"/>
        </w:rPr>
        <w:t xml:space="preserve"> </w:t>
      </w:r>
      <w:r w:rsidRPr="00A51A7C">
        <w:rPr>
          <w:rFonts w:eastAsia="+mn-ea" w:cs="Times"/>
          <w:bCs/>
          <w:kern w:val="24"/>
        </w:rPr>
        <w:t xml:space="preserve">Average </w:t>
      </w:r>
      <w:r w:rsidRPr="00A51A7C">
        <w:rPr>
          <w:rFonts w:eastAsia="+mn-ea" w:cs="Times"/>
          <w:kern w:val="24"/>
        </w:rPr>
        <w:t xml:space="preserve">lung weights measured on day 16 post-tumor inoculation, the experimental </w:t>
      </w:r>
      <w:r w:rsidRPr="00A51A7C">
        <w:rPr>
          <w:rFonts w:eastAsia="+mn-ea" w:cs="Times"/>
          <w:kern w:val="24"/>
        </w:rPr>
        <w:lastRenderedPageBreak/>
        <w:t>endpoint. b</w:t>
      </w:r>
      <w:r w:rsidRPr="00A51A7C">
        <w:rPr>
          <w:rFonts w:eastAsia="+mn-ea" w:cs="Times"/>
          <w:bCs/>
          <w:kern w:val="24"/>
        </w:rPr>
        <w:t>)</w:t>
      </w:r>
      <w:r w:rsidRPr="00A51A7C">
        <w:rPr>
          <w:rFonts w:eastAsia="+mn-ea" w:cs="Times"/>
          <w:kern w:val="24"/>
        </w:rPr>
        <w:t xml:space="preserve"> Representative whole-body images of untreated, </w:t>
      </w:r>
      <w:r w:rsidRPr="00A51A7C">
        <w:rPr>
          <w:rFonts w:cs="Times"/>
          <w:bCs/>
          <w:vertAlign w:val="superscript"/>
        </w:rPr>
        <w:t>153</w:t>
      </w:r>
      <w:r w:rsidRPr="00A51A7C">
        <w:rPr>
          <w:rFonts w:cs="Times"/>
          <w:bCs/>
        </w:rPr>
        <w:t xml:space="preserve">Sm@SWNT and </w:t>
      </w:r>
      <w:r w:rsidRPr="00A51A7C">
        <w:rPr>
          <w:rFonts w:cs="Times"/>
          <w:bCs/>
          <w:vertAlign w:val="superscript"/>
        </w:rPr>
        <w:t>153</w:t>
      </w:r>
      <w:r w:rsidRPr="00A51A7C">
        <w:rPr>
          <w:rFonts w:cs="Times"/>
          <w:bCs/>
        </w:rPr>
        <w:t>Sm@MWNT</w:t>
      </w:r>
      <w:r w:rsidRPr="00A51A7C">
        <w:rPr>
          <w:rFonts w:eastAsia="+mn-ea" w:cs="Times"/>
          <w:kern w:val="24"/>
        </w:rPr>
        <w:t xml:space="preserve"> treated mice captured on days 10 and 16 post-tumor inoculation. </w:t>
      </w:r>
      <w:r w:rsidRPr="00A51A7C">
        <w:rPr>
          <w:rFonts w:eastAsia="+mn-ea" w:cs="Times"/>
          <w:bCs/>
          <w:kern w:val="24"/>
        </w:rPr>
        <w:t xml:space="preserve">c) </w:t>
      </w:r>
      <w:r w:rsidRPr="00A51A7C">
        <w:rPr>
          <w:rFonts w:eastAsia="+mn-ea" w:cs="Times"/>
          <w:kern w:val="24"/>
        </w:rPr>
        <w:t xml:space="preserve">Tumor growth monitoring over time. Bioluminescence signals correspond to luciferase expressing B16F10 cells in the lung. </w:t>
      </w:r>
      <w:r w:rsidRPr="00A51A7C">
        <w:rPr>
          <w:rFonts w:eastAsia="+mn-ea" w:cs="Times"/>
          <w:bCs/>
          <w:kern w:val="24"/>
        </w:rPr>
        <w:t xml:space="preserve">d) </w:t>
      </w:r>
      <w:r w:rsidRPr="00A51A7C">
        <w:rPr>
          <w:rFonts w:eastAsia="+mn-ea" w:cs="Times"/>
          <w:kern w:val="24"/>
        </w:rPr>
        <w:t xml:space="preserve">H&amp;E and Neutral Red stained </w:t>
      </w:r>
      <w:r w:rsidRPr="00A51A7C">
        <w:rPr>
          <w:rFonts w:eastAsia="+mn-ea" w:cs="Times"/>
          <w:bCs/>
          <w:kern w:val="24"/>
        </w:rPr>
        <w:t>B16F10-Luc tumor</w:t>
      </w:r>
      <w:r w:rsidRPr="00A51A7C">
        <w:rPr>
          <w:rFonts w:eastAsia="+mn-ea" w:cs="Times"/>
          <w:kern w:val="24"/>
        </w:rPr>
        <w:t xml:space="preserve">-containing lung tissue sections excised on day 16 (left panels). High magnification images of tumor (areas 1) and non-tumor (areas 2) lung tissues are shown on the right. Arrows indicate the presence of CNTs. Scale bars: 200 </w:t>
      </w:r>
      <w:proofErr w:type="spellStart"/>
      <w:r w:rsidRPr="00A51A7C">
        <w:rPr>
          <w:rFonts w:eastAsia="+mn-ea" w:cs="Times"/>
          <w:kern w:val="24"/>
        </w:rPr>
        <w:t>μm</w:t>
      </w:r>
      <w:proofErr w:type="spellEnd"/>
      <w:r w:rsidRPr="00A51A7C">
        <w:rPr>
          <w:rFonts w:eastAsia="+mn-ea" w:cs="Times"/>
          <w:kern w:val="24"/>
        </w:rPr>
        <w:t xml:space="preserve"> for H&amp;E and Neutral Red stained sections; 5 </w:t>
      </w:r>
      <w:proofErr w:type="spellStart"/>
      <w:r w:rsidRPr="00A51A7C">
        <w:rPr>
          <w:rFonts w:eastAsia="+mn-ea" w:cs="Times"/>
          <w:kern w:val="24"/>
        </w:rPr>
        <w:t>μm</w:t>
      </w:r>
      <w:proofErr w:type="spellEnd"/>
      <w:r w:rsidRPr="00A51A7C">
        <w:rPr>
          <w:rFonts w:eastAsia="+mn-ea" w:cs="Times"/>
          <w:kern w:val="24"/>
        </w:rPr>
        <w:t xml:space="preserve"> for zoom-in images of areas 1 and 2. Results are presented as mean ± S.D. (n=9-10). Significant differences were examined using one-way ANOVA followed by Tukey’s multiple comparison test (*</w:t>
      </w:r>
      <w:r w:rsidRPr="00A51A7C">
        <w:rPr>
          <w:rFonts w:eastAsia="+mn-ea" w:cs="Times"/>
          <w:i/>
          <w:iCs/>
          <w:kern w:val="24"/>
        </w:rPr>
        <w:t xml:space="preserve">p </w:t>
      </w:r>
      <w:r w:rsidRPr="00A51A7C">
        <w:rPr>
          <w:rFonts w:eastAsia="+mn-ea" w:cs="Times"/>
          <w:iCs/>
          <w:kern w:val="24"/>
        </w:rPr>
        <w:t>&lt; 0.05, **</w:t>
      </w:r>
      <w:r w:rsidRPr="00A51A7C">
        <w:rPr>
          <w:rFonts w:eastAsia="+mn-ea" w:cs="Times"/>
          <w:i/>
          <w:iCs/>
          <w:kern w:val="24"/>
        </w:rPr>
        <w:t xml:space="preserve">p </w:t>
      </w:r>
      <w:r w:rsidRPr="00A51A7C">
        <w:rPr>
          <w:rFonts w:eastAsia="+mn-ea" w:cs="Times"/>
          <w:iCs/>
          <w:kern w:val="24"/>
        </w:rPr>
        <w:t>&lt; 0.01, ***</w:t>
      </w:r>
      <w:r w:rsidRPr="00A51A7C">
        <w:rPr>
          <w:rFonts w:eastAsia="+mn-ea" w:cs="Times"/>
          <w:i/>
          <w:iCs/>
          <w:kern w:val="24"/>
        </w:rPr>
        <w:t xml:space="preserve">p </w:t>
      </w:r>
      <w:r w:rsidRPr="00A51A7C">
        <w:rPr>
          <w:rFonts w:eastAsia="+mn-ea" w:cs="Times"/>
          <w:iCs/>
          <w:kern w:val="24"/>
        </w:rPr>
        <w:t>&lt; 0.001).</w:t>
      </w:r>
    </w:p>
    <w:p w:rsidR="0031077D" w:rsidRPr="00A51A7C" w:rsidRDefault="0031077D" w:rsidP="006C3AC3">
      <w:pPr>
        <w:spacing w:afterLines="200" w:after="480" w:line="480" w:lineRule="auto"/>
        <w:rPr>
          <w:rFonts w:cs="Times"/>
          <w:b/>
        </w:rPr>
      </w:pPr>
      <w:r w:rsidRPr="00A51A7C">
        <w:rPr>
          <w:rFonts w:cs="Times"/>
          <w:b/>
          <w:noProof/>
          <w:lang w:val="es-ES_tradnl" w:eastAsia="es-ES_tradnl"/>
        </w:rPr>
        <w:lastRenderedPageBreak/>
        <w:drawing>
          <wp:inline distT="0" distB="0" distL="0" distR="0">
            <wp:extent cx="5760720" cy="6339992"/>
            <wp:effectExtent l="0" t="0" r="0" b="0"/>
            <wp:docPr id="5" name="Imagen 10" descr="D:\Articles meus\152Sm\1-Khuloud\Submitted\3-AdvMater\Figures\Figure4.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rticles meus\152Sm\1-Khuloud\Submitted\3-AdvMater\Figures\Figure4.emf"/>
                    <pic:cNvPicPr>
                      <a:picLocks noChangeAspect="1" noChangeArrowheads="1"/>
                    </pic:cNvPicPr>
                  </pic:nvPicPr>
                  <pic:blipFill>
                    <a:blip r:embed="rId66" cstate="print"/>
                    <a:srcRect/>
                    <a:stretch>
                      <a:fillRect/>
                    </a:stretch>
                  </pic:blipFill>
                  <pic:spPr bwMode="auto">
                    <a:xfrm>
                      <a:off x="0" y="0"/>
                      <a:ext cx="5760720" cy="6339992"/>
                    </a:xfrm>
                    <a:prstGeom prst="rect">
                      <a:avLst/>
                    </a:prstGeom>
                    <a:noFill/>
                    <a:ln w="9525">
                      <a:noFill/>
                      <a:miter lim="800000"/>
                      <a:headEnd/>
                      <a:tailEnd/>
                    </a:ln>
                  </pic:spPr>
                </pic:pic>
              </a:graphicData>
            </a:graphic>
          </wp:inline>
        </w:drawing>
      </w:r>
    </w:p>
    <w:p w:rsidR="0031077D" w:rsidRPr="00A51A7C" w:rsidRDefault="0031077D" w:rsidP="006C3AC3">
      <w:pPr>
        <w:spacing w:afterLines="200" w:after="480" w:line="480" w:lineRule="auto"/>
        <w:rPr>
          <w:rFonts w:eastAsia="+mn-ea" w:cs="Times"/>
          <w:kern w:val="24"/>
        </w:rPr>
      </w:pPr>
      <w:r w:rsidRPr="00A51A7C">
        <w:rPr>
          <w:rFonts w:eastAsia="+mn-ea" w:cs="Times"/>
          <w:b/>
          <w:bCs/>
          <w:kern w:val="24"/>
        </w:rPr>
        <w:t xml:space="preserve">Figure 4. </w:t>
      </w:r>
      <w:r w:rsidRPr="00A51A7C">
        <w:rPr>
          <w:rFonts w:eastAsia="+mn-ea" w:cs="Times"/>
          <w:bCs/>
          <w:kern w:val="24"/>
        </w:rPr>
        <w:t xml:space="preserve">Toxicity assessments in tumor-bearing mice treated with </w:t>
      </w:r>
      <w:r w:rsidRPr="00A51A7C">
        <w:rPr>
          <w:rFonts w:cs="Times"/>
          <w:bCs/>
          <w:vertAlign w:val="superscript"/>
        </w:rPr>
        <w:t>153</w:t>
      </w:r>
      <w:r w:rsidRPr="00A51A7C">
        <w:rPr>
          <w:rFonts w:cs="Times"/>
          <w:bCs/>
        </w:rPr>
        <w:t xml:space="preserve">Sm@SWNT and </w:t>
      </w:r>
      <w:r w:rsidRPr="00A51A7C">
        <w:rPr>
          <w:rFonts w:cs="Times"/>
          <w:bCs/>
          <w:vertAlign w:val="superscript"/>
        </w:rPr>
        <w:t>153</w:t>
      </w:r>
      <w:r w:rsidRPr="00A51A7C">
        <w:rPr>
          <w:rFonts w:cs="Times"/>
          <w:bCs/>
        </w:rPr>
        <w:t xml:space="preserve">Sm@MWNT </w:t>
      </w:r>
      <w:r w:rsidRPr="00A51A7C">
        <w:rPr>
          <w:rFonts w:cs="Times"/>
          <w:bCs/>
          <w:i/>
        </w:rPr>
        <w:t>via</w:t>
      </w:r>
      <w:r w:rsidRPr="00A51A7C">
        <w:rPr>
          <w:rFonts w:cs="Times"/>
          <w:bCs/>
        </w:rPr>
        <w:t xml:space="preserve"> intravenous </w:t>
      </w:r>
      <w:r w:rsidRPr="00A51A7C">
        <w:rPr>
          <w:rFonts w:eastAsia="+mn-ea" w:cs="Times"/>
          <w:bCs/>
          <w:kern w:val="24"/>
        </w:rPr>
        <w:t>injection. B16F10-Luc tumor-bearing C57BL/6 mice</w:t>
      </w:r>
      <w:r w:rsidRPr="00A51A7C">
        <w:rPr>
          <w:rFonts w:eastAsia="+mn-ea" w:cs="Times"/>
          <w:b/>
          <w:bCs/>
          <w:kern w:val="24"/>
        </w:rPr>
        <w:t xml:space="preserve"> </w:t>
      </w:r>
      <w:r w:rsidRPr="00A51A7C">
        <w:rPr>
          <w:rFonts w:eastAsia="+mn-ea" w:cs="Times"/>
          <w:kern w:val="24"/>
        </w:rPr>
        <w:t xml:space="preserve">received a single </w:t>
      </w:r>
      <w:proofErr w:type="spellStart"/>
      <w:r w:rsidRPr="00A51A7C">
        <w:rPr>
          <w:rFonts w:eastAsia="+mn-ea" w:cs="Times"/>
          <w:kern w:val="24"/>
        </w:rPr>
        <w:t>i.v.</w:t>
      </w:r>
      <w:proofErr w:type="spellEnd"/>
      <w:r w:rsidRPr="00A51A7C">
        <w:rPr>
          <w:rFonts w:eastAsia="+mn-ea" w:cs="Times"/>
          <w:kern w:val="24"/>
        </w:rPr>
        <w:t xml:space="preserve"> injection of </w:t>
      </w:r>
      <w:r w:rsidRPr="00A51A7C">
        <w:rPr>
          <w:rFonts w:eastAsia="+mn-ea" w:cs="Times"/>
          <w:kern w:val="24"/>
          <w:vertAlign w:val="superscript"/>
        </w:rPr>
        <w:t>153</w:t>
      </w:r>
      <w:r w:rsidRPr="00A51A7C">
        <w:rPr>
          <w:rFonts w:eastAsia="+mn-ea" w:cs="Times"/>
          <w:kern w:val="24"/>
        </w:rPr>
        <w:t xml:space="preserve">Sm@SWNT or </w:t>
      </w:r>
      <w:r w:rsidRPr="00A51A7C">
        <w:rPr>
          <w:rFonts w:eastAsia="+mn-ea" w:cs="Times"/>
          <w:kern w:val="24"/>
          <w:vertAlign w:val="superscript"/>
        </w:rPr>
        <w:t>153</w:t>
      </w:r>
      <w:r w:rsidRPr="00A51A7C">
        <w:rPr>
          <w:rFonts w:eastAsia="+mn-ea" w:cs="Times"/>
          <w:kern w:val="24"/>
        </w:rPr>
        <w:t xml:space="preserve">Sm@MWNT (20 </w:t>
      </w:r>
      <w:proofErr w:type="spellStart"/>
      <w:r w:rsidRPr="00A51A7C">
        <w:rPr>
          <w:rFonts w:eastAsia="+mn-ea" w:cs="Times"/>
          <w:kern w:val="24"/>
        </w:rPr>
        <w:t>MBq</w:t>
      </w:r>
      <w:proofErr w:type="spellEnd"/>
      <w:r w:rsidRPr="00A51A7C">
        <w:rPr>
          <w:rFonts w:eastAsia="+mn-ea" w:cs="Times"/>
          <w:kern w:val="24"/>
        </w:rPr>
        <w:t xml:space="preserve">, 200 µg) on day 8 post-tumor inoculation. </w:t>
      </w:r>
      <w:r w:rsidRPr="00A51A7C">
        <w:rPr>
          <w:rFonts w:eastAsia="+mn-ea" w:cs="Times"/>
          <w:bCs/>
          <w:kern w:val="24"/>
        </w:rPr>
        <w:t xml:space="preserve">a) Percentage of </w:t>
      </w:r>
      <w:r w:rsidRPr="00A51A7C">
        <w:rPr>
          <w:rFonts w:eastAsia="+mn-ea" w:cs="Times"/>
          <w:kern w:val="24"/>
        </w:rPr>
        <w:t xml:space="preserve">whole body weight changes of B16F10-Luc tumor-bearing mice after </w:t>
      </w:r>
      <w:r w:rsidRPr="00A51A7C">
        <w:rPr>
          <w:rFonts w:eastAsia="+mn-ea" w:cs="Times"/>
          <w:kern w:val="24"/>
        </w:rPr>
        <w:lastRenderedPageBreak/>
        <w:t>radiotherapy.</w:t>
      </w:r>
      <w:r w:rsidRPr="00A51A7C">
        <w:rPr>
          <w:rFonts w:eastAsia="+mn-ea" w:cs="Times"/>
          <w:bCs/>
          <w:kern w:val="24"/>
        </w:rPr>
        <w:t xml:space="preserve"> b) </w:t>
      </w:r>
      <w:r w:rsidRPr="00A51A7C">
        <w:rPr>
          <w:rFonts w:eastAsia="+mn-ea" w:cs="Times"/>
          <w:kern w:val="24"/>
        </w:rPr>
        <w:t xml:space="preserve">Major organ weight and </w:t>
      </w:r>
      <w:r w:rsidRPr="00A51A7C">
        <w:rPr>
          <w:rFonts w:eastAsia="+mn-ea" w:cs="Times"/>
          <w:bCs/>
          <w:kern w:val="24"/>
        </w:rPr>
        <w:t xml:space="preserve">c) </w:t>
      </w:r>
      <w:r w:rsidRPr="00A51A7C">
        <w:rPr>
          <w:rFonts w:eastAsia="+mn-ea" w:cs="Times"/>
          <w:kern w:val="24"/>
        </w:rPr>
        <w:t xml:space="preserve">histological examination of major organs on day 16 post tumor inoculation. The body weight of individual mouse was measured every 3-4 days post tumor-inoculation. At the experimental endpoint on day 16, major organs including heart, kidney, liver and spleen were excised, weighed and fixed for histological examination. Tissue sections were stained with H&amp;E (examine necrosis) or Neutral Red (track CNTs). Scale bars: 50 </w:t>
      </w:r>
      <w:proofErr w:type="spellStart"/>
      <w:r w:rsidRPr="00A51A7C">
        <w:rPr>
          <w:rFonts w:eastAsia="+mn-ea" w:cs="Times"/>
          <w:kern w:val="24"/>
        </w:rPr>
        <w:t>μm</w:t>
      </w:r>
      <w:proofErr w:type="spellEnd"/>
      <w:r w:rsidRPr="00A51A7C">
        <w:rPr>
          <w:rFonts w:eastAsia="+mn-ea" w:cs="Times"/>
          <w:kern w:val="24"/>
        </w:rPr>
        <w:t>.</w:t>
      </w:r>
      <w:r w:rsidRPr="00A51A7C">
        <w:rPr>
          <w:rFonts w:eastAsia="+mn-ea" w:cs="Times"/>
          <w:b/>
          <w:bCs/>
          <w:kern w:val="24"/>
        </w:rPr>
        <w:t xml:space="preserve"> </w:t>
      </w:r>
      <w:r w:rsidRPr="00A51A7C">
        <w:rPr>
          <w:rFonts w:eastAsia="+mn-ea" w:cs="Times"/>
          <w:kern w:val="24"/>
        </w:rPr>
        <w:t xml:space="preserve">Results are presented as mean ± S.D. (n = 9-10). No statistical differences were found in % whole body weight changes between different treatments.  Mice treated with </w:t>
      </w:r>
      <w:r w:rsidRPr="00A51A7C">
        <w:rPr>
          <w:rFonts w:eastAsia="+mn-ea" w:cs="Times"/>
          <w:kern w:val="24"/>
          <w:vertAlign w:val="superscript"/>
        </w:rPr>
        <w:t>153</w:t>
      </w:r>
      <w:r w:rsidRPr="00A51A7C">
        <w:rPr>
          <w:rFonts w:eastAsia="+mn-ea" w:cs="Times"/>
          <w:kern w:val="24"/>
        </w:rPr>
        <w:t>Sm@CNTs showed significant weight reduction in lung and spleen. Significant differences were examined using one-way ANOVA followed by Tukey’s multiple comparison test (</w:t>
      </w:r>
      <w:r w:rsidRPr="00A51A7C">
        <w:rPr>
          <w:rFonts w:eastAsia="+mn-ea" w:cs="Times"/>
          <w:iCs/>
          <w:kern w:val="24"/>
        </w:rPr>
        <w:t>**</w:t>
      </w:r>
      <w:r w:rsidRPr="00A51A7C">
        <w:rPr>
          <w:rFonts w:eastAsia="+mn-ea" w:cs="Times"/>
          <w:i/>
          <w:iCs/>
          <w:kern w:val="24"/>
        </w:rPr>
        <w:t xml:space="preserve">p </w:t>
      </w:r>
      <w:r w:rsidRPr="00A51A7C">
        <w:rPr>
          <w:rFonts w:eastAsia="+mn-ea" w:cs="Times"/>
          <w:iCs/>
          <w:kern w:val="24"/>
        </w:rPr>
        <w:t>&lt; 0.01, ***</w:t>
      </w:r>
      <w:r w:rsidRPr="00A51A7C">
        <w:rPr>
          <w:rFonts w:eastAsia="+mn-ea" w:cs="Times"/>
          <w:i/>
          <w:iCs/>
          <w:kern w:val="24"/>
        </w:rPr>
        <w:t xml:space="preserve">p </w:t>
      </w:r>
      <w:r w:rsidRPr="00A51A7C">
        <w:rPr>
          <w:rFonts w:eastAsia="+mn-ea" w:cs="Times"/>
          <w:iCs/>
          <w:kern w:val="24"/>
        </w:rPr>
        <w:t>&lt; 0.001).</w:t>
      </w:r>
    </w:p>
    <w:p w:rsidR="0031077D" w:rsidRPr="00A51A7C" w:rsidRDefault="0031077D" w:rsidP="006C3AC3">
      <w:pPr>
        <w:pStyle w:val="Subttulo"/>
        <w:spacing w:afterLines="200" w:after="480" w:line="480" w:lineRule="auto"/>
        <w:jc w:val="center"/>
        <w:rPr>
          <w:rFonts w:ascii="Times" w:hAnsi="Times" w:cs="Times"/>
          <w:color w:val="auto"/>
          <w:spacing w:val="0"/>
          <w:sz w:val="24"/>
          <w:szCs w:val="24"/>
        </w:rPr>
      </w:pPr>
      <w:r w:rsidRPr="00A51A7C">
        <w:rPr>
          <w:rFonts w:ascii="Times" w:hAnsi="Times" w:cs="Times"/>
          <w:noProof/>
          <w:color w:val="auto"/>
          <w:spacing w:val="0"/>
          <w:sz w:val="24"/>
          <w:szCs w:val="24"/>
          <w:lang w:val="es-ES_tradnl" w:eastAsia="es-ES_tradnl"/>
        </w:rPr>
        <w:lastRenderedPageBreak/>
        <w:drawing>
          <wp:inline distT="0" distB="0" distL="0" distR="0">
            <wp:extent cx="2880000" cy="5378823"/>
            <wp:effectExtent l="0" t="0" r="0" b="0"/>
            <wp:docPr id="6" name="Imagen 3" descr="D:\Articles meus\152Sm\1-Khuloud\Figures\Figure6.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rticles meus\152Sm\1-Khuloud\Figures\Figure6.emf"/>
                    <pic:cNvPicPr>
                      <a:picLocks noChangeAspect="1" noChangeArrowheads="1"/>
                    </pic:cNvPicPr>
                  </pic:nvPicPr>
                  <pic:blipFill>
                    <a:blip r:embed="rId67" cstate="print"/>
                    <a:srcRect/>
                    <a:stretch>
                      <a:fillRect/>
                    </a:stretch>
                  </pic:blipFill>
                  <pic:spPr bwMode="auto">
                    <a:xfrm>
                      <a:off x="0" y="0"/>
                      <a:ext cx="2880000" cy="5378823"/>
                    </a:xfrm>
                    <a:prstGeom prst="rect">
                      <a:avLst/>
                    </a:prstGeom>
                    <a:noFill/>
                    <a:ln w="9525">
                      <a:noFill/>
                      <a:miter lim="800000"/>
                      <a:headEnd/>
                      <a:tailEnd/>
                    </a:ln>
                  </pic:spPr>
                </pic:pic>
              </a:graphicData>
            </a:graphic>
          </wp:inline>
        </w:drawing>
      </w:r>
    </w:p>
    <w:p w:rsidR="0031077D" w:rsidRPr="00A51A7C" w:rsidRDefault="0031077D" w:rsidP="006C3AC3">
      <w:pPr>
        <w:spacing w:afterLines="200" w:after="480" w:line="480" w:lineRule="auto"/>
        <w:rPr>
          <w:rFonts w:cs="Times"/>
        </w:rPr>
      </w:pPr>
      <w:r w:rsidRPr="00A51A7C">
        <w:rPr>
          <w:rFonts w:cs="Times"/>
          <w:b/>
        </w:rPr>
        <w:t>Figure 5.</w:t>
      </w:r>
      <w:r w:rsidRPr="00A51A7C">
        <w:rPr>
          <w:rFonts w:cs="Times"/>
        </w:rPr>
        <w:t xml:space="preserve"> Predicted and experimental relative tumor sizes as a function of time in control or </w:t>
      </w:r>
      <w:r w:rsidRPr="00A51A7C">
        <w:rPr>
          <w:rFonts w:cs="Times"/>
          <w:vertAlign w:val="superscript"/>
        </w:rPr>
        <w:t>153</w:t>
      </w:r>
      <w:r w:rsidRPr="00A51A7C">
        <w:rPr>
          <w:rFonts w:cs="Times"/>
        </w:rPr>
        <w:t xml:space="preserve">Sm@SWNT- and </w:t>
      </w:r>
      <w:r w:rsidRPr="00A51A7C">
        <w:rPr>
          <w:rFonts w:cs="Times"/>
          <w:vertAlign w:val="superscript"/>
        </w:rPr>
        <w:t>153</w:t>
      </w:r>
      <w:r w:rsidRPr="00A51A7C">
        <w:rPr>
          <w:rFonts w:cs="Times"/>
        </w:rPr>
        <w:t xml:space="preserve">Sm@MWNT-treated mice. B16F10-Luc tumor-bearing C57BL/6 mice received a single dose </w:t>
      </w:r>
      <w:proofErr w:type="spellStart"/>
      <w:r w:rsidRPr="00A51A7C">
        <w:rPr>
          <w:rFonts w:cs="Times"/>
        </w:rPr>
        <w:t>i.v.</w:t>
      </w:r>
      <w:proofErr w:type="spellEnd"/>
      <w:r w:rsidRPr="00A51A7C">
        <w:rPr>
          <w:rFonts w:cs="Times"/>
        </w:rPr>
        <w:t xml:space="preserve"> injection of </w:t>
      </w:r>
      <w:r w:rsidRPr="00A51A7C">
        <w:rPr>
          <w:rFonts w:cs="Times"/>
          <w:vertAlign w:val="superscript"/>
        </w:rPr>
        <w:t>153</w:t>
      </w:r>
      <w:r w:rsidRPr="00A51A7C">
        <w:rPr>
          <w:rFonts w:cs="Times"/>
        </w:rPr>
        <w:t xml:space="preserve">Sm@SWNT or </w:t>
      </w:r>
      <w:r w:rsidRPr="00A51A7C">
        <w:rPr>
          <w:rFonts w:cs="Times"/>
          <w:vertAlign w:val="superscript"/>
        </w:rPr>
        <w:t>153</w:t>
      </w:r>
      <w:r w:rsidRPr="00A51A7C">
        <w:rPr>
          <w:rFonts w:cs="Times"/>
        </w:rPr>
        <w:t xml:space="preserve">Sm@MWNT (20 </w:t>
      </w:r>
      <w:proofErr w:type="spellStart"/>
      <w:r w:rsidRPr="00A51A7C">
        <w:rPr>
          <w:rFonts w:cs="Times"/>
        </w:rPr>
        <w:t>MBq</w:t>
      </w:r>
      <w:proofErr w:type="spellEnd"/>
      <w:r w:rsidRPr="00A51A7C">
        <w:rPr>
          <w:rFonts w:cs="Times"/>
        </w:rPr>
        <w:t xml:space="preserve">, 200 µg) on day 8 post tumor inoculation or remained untreated. Green dots represent experiment data and blue lines are simulated results for the three groups: a) untreated control, b) </w:t>
      </w:r>
      <w:r w:rsidRPr="00A51A7C">
        <w:rPr>
          <w:rFonts w:cs="Times"/>
          <w:vertAlign w:val="superscript"/>
        </w:rPr>
        <w:t>153</w:t>
      </w:r>
      <w:r w:rsidRPr="00A51A7C">
        <w:rPr>
          <w:rFonts w:cs="Times"/>
        </w:rPr>
        <w:t>Sm@SWNT treated group, and c)</w:t>
      </w:r>
      <w:r w:rsidRPr="00A51A7C">
        <w:rPr>
          <w:rFonts w:cs="Times"/>
          <w:vertAlign w:val="superscript"/>
        </w:rPr>
        <w:t xml:space="preserve"> 153</w:t>
      </w:r>
      <w:r w:rsidRPr="00A51A7C">
        <w:rPr>
          <w:rFonts w:cs="Times"/>
        </w:rPr>
        <w:t xml:space="preserve">Sm@MWNT treated group. </w:t>
      </w:r>
      <w:r w:rsidRPr="00A51A7C">
        <w:rPr>
          <w:rFonts w:cs="Times"/>
          <w:lang w:eastAsia="cs-CZ"/>
        </w:rPr>
        <w:t xml:space="preserve">The calculated blue lines are plotted according to equation (2). The values of the coefficients entered in equation (2) are as follows: for all three </w:t>
      </w:r>
      <w:r w:rsidRPr="00A51A7C">
        <w:rPr>
          <w:rFonts w:cs="Times"/>
          <w:lang w:eastAsia="cs-CZ"/>
        </w:rPr>
        <w:lastRenderedPageBreak/>
        <w:t xml:space="preserve">cases, the </w:t>
      </w:r>
      <w:proofErr w:type="spellStart"/>
      <w:r w:rsidRPr="00A51A7C">
        <w:rPr>
          <w:rFonts w:cs="Times"/>
          <w:lang w:eastAsia="cs-CZ"/>
        </w:rPr>
        <w:t>radiosensitivity</w:t>
      </w:r>
      <w:proofErr w:type="spellEnd"/>
      <w:r w:rsidRPr="00A51A7C">
        <w:rPr>
          <w:rFonts w:cs="Times"/>
          <w:lang w:eastAsia="cs-CZ"/>
        </w:rPr>
        <w:t xml:space="preserve"> parameter was </w:t>
      </w:r>
      <w:r w:rsidRPr="00A51A7C">
        <w:rPr>
          <w:rFonts w:cs="Times"/>
          <w:lang w:eastAsia="cs-CZ"/>
        </w:rPr>
        <w:sym w:font="Symbol" w:char="F061"/>
      </w:r>
      <w:r w:rsidRPr="00A51A7C">
        <w:rPr>
          <w:rFonts w:cs="Times"/>
          <w:i/>
          <w:lang w:eastAsia="cs-CZ"/>
        </w:rPr>
        <w:t>=</w:t>
      </w:r>
      <w:r w:rsidRPr="00A51A7C">
        <w:rPr>
          <w:rFonts w:cs="Times"/>
          <w:lang w:eastAsia="cs-CZ"/>
        </w:rPr>
        <w:t>0.0068 Gy</w:t>
      </w:r>
      <w:r w:rsidRPr="00A51A7C">
        <w:rPr>
          <w:rFonts w:cs="Times"/>
          <w:vertAlign w:val="superscript"/>
          <w:lang w:eastAsia="cs-CZ"/>
        </w:rPr>
        <w:t>-1</w:t>
      </w:r>
      <w:r w:rsidRPr="00A51A7C">
        <w:rPr>
          <w:rFonts w:cs="Times"/>
          <w:lang w:eastAsia="cs-CZ"/>
        </w:rPr>
        <w:t xml:space="preserve"> and the cell doubling time </w:t>
      </w:r>
      <w:r w:rsidRPr="00A51A7C">
        <w:rPr>
          <w:rFonts w:cs="Times"/>
          <w:i/>
          <w:lang w:eastAsia="cs-CZ"/>
        </w:rPr>
        <w:t>T</w:t>
      </w:r>
      <w:r w:rsidRPr="00A51A7C">
        <w:rPr>
          <w:rFonts w:cs="Times"/>
          <w:i/>
          <w:vertAlign w:val="subscript"/>
          <w:lang w:eastAsia="cs-CZ"/>
        </w:rPr>
        <w:t>d</w:t>
      </w:r>
      <w:r w:rsidRPr="00A51A7C">
        <w:rPr>
          <w:rFonts w:cs="Times"/>
          <w:lang w:eastAsia="cs-CZ"/>
        </w:rPr>
        <w:t xml:space="preserve"> equals 39.78 h which corresponds to a proliferation rate </w:t>
      </w:r>
      <w:r w:rsidRPr="00A51A7C">
        <w:rPr>
          <w:rFonts w:cs="Times"/>
          <w:lang w:eastAsia="cs-CZ"/>
        </w:rPr>
        <w:sym w:font="Symbol" w:char="F06C"/>
      </w:r>
      <w:r w:rsidRPr="00A51A7C">
        <w:rPr>
          <w:rFonts w:cs="Times"/>
          <w:lang w:eastAsia="cs-CZ"/>
        </w:rPr>
        <w:t>= ln(2)/T</w:t>
      </w:r>
      <w:r w:rsidRPr="00A51A7C">
        <w:rPr>
          <w:rFonts w:cs="Times"/>
          <w:vertAlign w:val="subscript"/>
          <w:lang w:eastAsia="cs-CZ"/>
        </w:rPr>
        <w:t>d</w:t>
      </w:r>
      <w:r w:rsidRPr="00A51A7C">
        <w:rPr>
          <w:rFonts w:cs="Times"/>
          <w:lang w:eastAsia="cs-CZ"/>
        </w:rPr>
        <w:t xml:space="preserve"> = 0.017 h</w:t>
      </w:r>
      <w:r w:rsidRPr="00A51A7C">
        <w:rPr>
          <w:rFonts w:cs="Times"/>
          <w:vertAlign w:val="superscript"/>
          <w:lang w:eastAsia="cs-CZ"/>
        </w:rPr>
        <w:t>-1</w:t>
      </w:r>
      <w:r w:rsidRPr="00A51A7C">
        <w:rPr>
          <w:rFonts w:cs="Times"/>
          <w:lang w:eastAsia="cs-CZ"/>
        </w:rPr>
        <w:t>. Extrapolated initial dose rate r</w:t>
      </w:r>
      <w:r w:rsidRPr="00A51A7C">
        <w:rPr>
          <w:rFonts w:cs="Times"/>
          <w:vertAlign w:val="subscript"/>
          <w:lang w:eastAsia="cs-CZ"/>
        </w:rPr>
        <w:t>0</w:t>
      </w:r>
      <w:r w:rsidRPr="00A51A7C">
        <w:rPr>
          <w:rFonts w:cs="Times"/>
          <w:lang w:eastAsia="cs-CZ"/>
        </w:rPr>
        <w:t xml:space="preserve">, effective uptake rate </w:t>
      </w:r>
      <w:r w:rsidRPr="00A51A7C">
        <w:rPr>
          <w:rFonts w:cs="Times"/>
          <w:i/>
          <w:lang w:eastAsia="cs-CZ"/>
        </w:rPr>
        <w:t>m</w:t>
      </w:r>
      <w:r w:rsidRPr="00A51A7C">
        <w:rPr>
          <w:rFonts w:cs="Times"/>
          <w:lang w:eastAsia="cs-CZ"/>
        </w:rPr>
        <w:t xml:space="preserve">, and effective washout rate </w:t>
      </w:r>
      <w:r w:rsidRPr="00A51A7C">
        <w:rPr>
          <w:rFonts w:cs="Times"/>
          <w:i/>
          <w:lang w:eastAsia="cs-CZ"/>
        </w:rPr>
        <w:t xml:space="preserve">k </w:t>
      </w:r>
      <w:r w:rsidRPr="00A51A7C">
        <w:rPr>
          <w:rFonts w:cs="Times"/>
          <w:lang w:eastAsia="cs-CZ"/>
        </w:rPr>
        <w:t>are specific for each case. Specifically, for the untreated sample (a), the extrapolated initial dose rate r</w:t>
      </w:r>
      <w:r w:rsidRPr="00A51A7C">
        <w:rPr>
          <w:rFonts w:cs="Times"/>
          <w:vertAlign w:val="subscript"/>
          <w:lang w:eastAsia="cs-CZ"/>
        </w:rPr>
        <w:t>0</w:t>
      </w:r>
      <w:r w:rsidRPr="00A51A7C">
        <w:rPr>
          <w:rFonts w:cs="Times"/>
          <w:lang w:eastAsia="cs-CZ"/>
        </w:rPr>
        <w:t xml:space="preserve"> equals 0 whereas for SWNT (b) the parameter values are:</w:t>
      </w:r>
      <w:r w:rsidRPr="00A51A7C">
        <w:rPr>
          <w:rFonts w:cs="Times"/>
          <w:i/>
          <w:lang w:eastAsia="cs-CZ"/>
        </w:rPr>
        <w:t xml:space="preserve"> </w:t>
      </w:r>
      <w:r w:rsidRPr="00A51A7C">
        <w:rPr>
          <w:rFonts w:cs="Times"/>
          <w:lang w:eastAsia="cs-CZ"/>
        </w:rPr>
        <w:t>r</w:t>
      </w:r>
      <w:r w:rsidRPr="00A51A7C">
        <w:rPr>
          <w:rFonts w:cs="Times"/>
          <w:vertAlign w:val="subscript"/>
          <w:lang w:eastAsia="cs-CZ"/>
        </w:rPr>
        <w:t>0</w:t>
      </w:r>
      <w:r w:rsidRPr="00A51A7C">
        <w:rPr>
          <w:rFonts w:cs="Times"/>
          <w:lang w:eastAsia="cs-CZ"/>
        </w:rPr>
        <w:t xml:space="preserve"> = 1.872 </w:t>
      </w:r>
      <w:proofErr w:type="spellStart"/>
      <w:r w:rsidRPr="00A51A7C">
        <w:rPr>
          <w:rFonts w:cs="Times"/>
          <w:lang w:eastAsia="cs-CZ"/>
        </w:rPr>
        <w:t>Gy</w:t>
      </w:r>
      <w:proofErr w:type="spellEnd"/>
      <w:r w:rsidRPr="00A51A7C">
        <w:rPr>
          <w:rFonts w:cs="Times"/>
          <w:lang w:eastAsia="cs-CZ"/>
        </w:rPr>
        <w:t xml:space="preserve"> h</w:t>
      </w:r>
      <w:r w:rsidRPr="00A51A7C">
        <w:rPr>
          <w:rFonts w:cs="Times"/>
          <w:vertAlign w:val="superscript"/>
          <w:lang w:eastAsia="cs-CZ"/>
        </w:rPr>
        <w:t>-1</w:t>
      </w:r>
      <w:r w:rsidRPr="00A51A7C">
        <w:rPr>
          <w:rFonts w:cs="Times"/>
          <w:lang w:eastAsia="cs-CZ"/>
        </w:rPr>
        <w:t xml:space="preserve">, </w:t>
      </w:r>
      <w:r w:rsidRPr="00A51A7C">
        <w:rPr>
          <w:rFonts w:cs="Times"/>
          <w:i/>
          <w:lang w:eastAsia="cs-CZ"/>
        </w:rPr>
        <w:t>k</w:t>
      </w:r>
      <w:r w:rsidRPr="00A51A7C">
        <w:rPr>
          <w:rFonts w:cs="Times"/>
          <w:lang w:eastAsia="cs-CZ"/>
        </w:rPr>
        <w:t xml:space="preserve"> = 0.0162 h</w:t>
      </w:r>
      <w:r w:rsidRPr="00A51A7C">
        <w:rPr>
          <w:rFonts w:cs="Times"/>
          <w:vertAlign w:val="superscript"/>
          <w:lang w:eastAsia="cs-CZ"/>
        </w:rPr>
        <w:t>-1</w:t>
      </w:r>
      <w:r w:rsidRPr="00A51A7C">
        <w:rPr>
          <w:rFonts w:cs="Times"/>
          <w:lang w:eastAsia="cs-CZ"/>
        </w:rPr>
        <w:t xml:space="preserve">, </w:t>
      </w:r>
      <w:r w:rsidRPr="00A51A7C">
        <w:rPr>
          <w:rFonts w:cs="Times"/>
          <w:i/>
          <w:lang w:eastAsia="cs-CZ"/>
        </w:rPr>
        <w:t>m</w:t>
      </w:r>
      <w:r w:rsidRPr="00A51A7C">
        <w:rPr>
          <w:rFonts w:cs="Times"/>
          <w:lang w:eastAsia="cs-CZ"/>
        </w:rPr>
        <w:t xml:space="preserve"> = 2.34 h</w:t>
      </w:r>
      <w:r w:rsidRPr="00A51A7C">
        <w:rPr>
          <w:rFonts w:cs="Times"/>
          <w:vertAlign w:val="superscript"/>
          <w:lang w:eastAsia="cs-CZ"/>
        </w:rPr>
        <w:t>-1</w:t>
      </w:r>
      <w:r w:rsidRPr="00A51A7C">
        <w:rPr>
          <w:rFonts w:cs="Times"/>
          <w:lang w:eastAsia="cs-CZ"/>
        </w:rPr>
        <w:t xml:space="preserve"> and for MWNT (c) the parameter values are r</w:t>
      </w:r>
      <w:r w:rsidRPr="00A51A7C">
        <w:rPr>
          <w:rFonts w:cs="Times"/>
          <w:vertAlign w:val="subscript"/>
          <w:lang w:eastAsia="cs-CZ"/>
        </w:rPr>
        <w:t>0</w:t>
      </w:r>
      <w:r w:rsidRPr="00A51A7C">
        <w:rPr>
          <w:rFonts w:cs="Times"/>
          <w:lang w:eastAsia="cs-CZ"/>
        </w:rPr>
        <w:t xml:space="preserve"> = 3.158 </w:t>
      </w:r>
      <w:proofErr w:type="spellStart"/>
      <w:r w:rsidRPr="00A51A7C">
        <w:rPr>
          <w:rFonts w:cs="Times"/>
          <w:lang w:eastAsia="cs-CZ"/>
        </w:rPr>
        <w:t>Gy</w:t>
      </w:r>
      <w:proofErr w:type="spellEnd"/>
      <w:r w:rsidRPr="00A51A7C">
        <w:rPr>
          <w:rFonts w:cs="Times"/>
          <w:lang w:eastAsia="cs-CZ"/>
        </w:rPr>
        <w:t xml:space="preserve"> h</w:t>
      </w:r>
      <w:r w:rsidRPr="00A51A7C">
        <w:rPr>
          <w:rFonts w:cs="Times"/>
          <w:vertAlign w:val="superscript"/>
          <w:lang w:eastAsia="cs-CZ"/>
        </w:rPr>
        <w:t>-1</w:t>
      </w:r>
      <w:r w:rsidRPr="00A51A7C">
        <w:rPr>
          <w:rFonts w:cs="Times"/>
          <w:lang w:eastAsia="cs-CZ"/>
        </w:rPr>
        <w:t xml:space="preserve">, </w:t>
      </w:r>
      <w:r w:rsidRPr="00A51A7C">
        <w:rPr>
          <w:rFonts w:cs="Times"/>
          <w:i/>
          <w:lang w:eastAsia="cs-CZ"/>
        </w:rPr>
        <w:t xml:space="preserve">k </w:t>
      </w:r>
      <w:r w:rsidRPr="00A51A7C">
        <w:rPr>
          <w:rFonts w:cs="Times"/>
          <w:lang w:eastAsia="cs-CZ"/>
        </w:rPr>
        <w:t>= 0.0160 h</w:t>
      </w:r>
      <w:r w:rsidRPr="00A51A7C">
        <w:rPr>
          <w:rFonts w:cs="Times"/>
          <w:vertAlign w:val="superscript"/>
          <w:lang w:eastAsia="cs-CZ"/>
        </w:rPr>
        <w:t>-</w:t>
      </w:r>
      <w:r w:rsidRPr="00A51A7C">
        <w:rPr>
          <w:rFonts w:cs="Times"/>
          <w:i/>
          <w:vertAlign w:val="superscript"/>
          <w:lang w:eastAsia="cs-CZ"/>
        </w:rPr>
        <w:t>1</w:t>
      </w:r>
      <w:r w:rsidRPr="00A51A7C">
        <w:rPr>
          <w:rFonts w:cs="Times"/>
          <w:i/>
          <w:lang w:eastAsia="cs-CZ"/>
        </w:rPr>
        <w:t xml:space="preserve">, m = </w:t>
      </w:r>
      <w:r w:rsidRPr="00A51A7C">
        <w:rPr>
          <w:rFonts w:cs="Times"/>
          <w:lang w:eastAsia="cs-CZ"/>
        </w:rPr>
        <w:t>0.826 h</w:t>
      </w:r>
      <w:r w:rsidRPr="00A51A7C">
        <w:rPr>
          <w:rFonts w:cs="Times"/>
          <w:vertAlign w:val="superscript"/>
          <w:lang w:eastAsia="cs-CZ"/>
        </w:rPr>
        <w:t>-1</w:t>
      </w:r>
      <w:r w:rsidRPr="00A51A7C">
        <w:rPr>
          <w:rFonts w:cs="Times"/>
          <w:lang w:eastAsia="cs-CZ"/>
        </w:rPr>
        <w:t>. The detailed derivation of the parameter values for each case is given in the Dosimetry simulation section in the Supporting Information.</w:t>
      </w:r>
    </w:p>
    <w:p w:rsidR="0031077D" w:rsidRPr="00A51A7C" w:rsidRDefault="0031077D" w:rsidP="0031077D">
      <w:pPr>
        <w:rPr>
          <w:rFonts w:cs="Times"/>
        </w:rPr>
      </w:pPr>
    </w:p>
    <w:p w:rsidR="00EF0E17" w:rsidRPr="00A51A7C" w:rsidRDefault="00EF0E17" w:rsidP="0031077D">
      <w:pPr>
        <w:rPr>
          <w:rFonts w:cs="Times"/>
        </w:rPr>
      </w:pPr>
    </w:p>
    <w:p w:rsidR="0031077D" w:rsidRPr="00A51A7C" w:rsidRDefault="00AB34C5" w:rsidP="00C10EE0">
      <w:pPr>
        <w:pStyle w:val="VDTableTitle"/>
        <w:spacing w:after="240"/>
        <w:jc w:val="left"/>
        <w:rPr>
          <w:rFonts w:cs="Times"/>
        </w:rPr>
      </w:pPr>
      <w:r w:rsidRPr="00A51A7C">
        <w:rPr>
          <w:rFonts w:cs="Times"/>
        </w:rPr>
        <w:t xml:space="preserve">TABLES. </w:t>
      </w:r>
    </w:p>
    <w:p w:rsidR="0031077D" w:rsidRPr="00A51A7C" w:rsidRDefault="0031077D" w:rsidP="0031077D">
      <w:pPr>
        <w:spacing w:after="240" w:line="480" w:lineRule="auto"/>
        <w:rPr>
          <w:rFonts w:cs="Times"/>
          <w:szCs w:val="24"/>
        </w:rPr>
      </w:pPr>
      <w:r w:rsidRPr="00A51A7C">
        <w:rPr>
          <w:rFonts w:cs="Times"/>
          <w:b/>
        </w:rPr>
        <w:t>Table 1.</w:t>
      </w:r>
      <w:r w:rsidRPr="00A51A7C">
        <w:rPr>
          <w:rFonts w:cs="Times"/>
        </w:rPr>
        <w:t xml:space="preserve"> Neut</w:t>
      </w:r>
      <w:r w:rsidRPr="00A51A7C">
        <w:rPr>
          <w:rFonts w:cs="Times"/>
          <w:szCs w:val="24"/>
        </w:rPr>
        <w:t xml:space="preserve">ron irradiation of </w:t>
      </w:r>
      <w:r w:rsidRPr="00A51A7C">
        <w:rPr>
          <w:rFonts w:cs="Times"/>
          <w:szCs w:val="24"/>
          <w:vertAlign w:val="superscript"/>
        </w:rPr>
        <w:t>152</w:t>
      </w:r>
      <w:r w:rsidRPr="00A51A7C">
        <w:rPr>
          <w:rFonts w:cs="Times"/>
          <w:szCs w:val="24"/>
        </w:rPr>
        <w:t xml:space="preserve">Sm@SWNT and </w:t>
      </w:r>
      <w:r w:rsidRPr="00A51A7C">
        <w:rPr>
          <w:rFonts w:cs="Times"/>
          <w:szCs w:val="24"/>
          <w:vertAlign w:val="superscript"/>
        </w:rPr>
        <w:t>152</w:t>
      </w:r>
      <w:r w:rsidRPr="00A51A7C">
        <w:rPr>
          <w:rFonts w:cs="Times"/>
          <w:szCs w:val="24"/>
        </w:rPr>
        <w:t xml:space="preserve">Sm@MWNT to achieve radioactive </w:t>
      </w:r>
      <w:r w:rsidRPr="00A51A7C">
        <w:rPr>
          <w:rFonts w:cs="Times"/>
          <w:szCs w:val="24"/>
          <w:vertAlign w:val="superscript"/>
        </w:rPr>
        <w:t>153</w:t>
      </w:r>
      <w:r w:rsidRPr="00A51A7C">
        <w:rPr>
          <w:rFonts w:cs="Times"/>
          <w:szCs w:val="24"/>
        </w:rPr>
        <w:t xml:space="preserve">Sm@SWNT and </w:t>
      </w:r>
      <w:r w:rsidRPr="00A51A7C">
        <w:rPr>
          <w:rFonts w:cs="Times"/>
          <w:szCs w:val="24"/>
          <w:vertAlign w:val="superscript"/>
        </w:rPr>
        <w:t>153</w:t>
      </w:r>
      <w:r w:rsidRPr="00A51A7C">
        <w:rPr>
          <w:rFonts w:cs="Times"/>
          <w:szCs w:val="24"/>
        </w:rPr>
        <w:t>Sm@MWNT.</w:t>
      </w:r>
    </w:p>
    <w:p w:rsidR="0031077D" w:rsidRPr="00A51A7C" w:rsidRDefault="0031077D" w:rsidP="0031077D">
      <w:pPr>
        <w:pStyle w:val="Legend"/>
        <w:rPr>
          <w:rFonts w:ascii="Times" w:hAnsi="Times" w:cs="Times"/>
        </w:rPr>
      </w:pPr>
    </w:p>
    <w:tbl>
      <w:tblPr>
        <w:tblW w:w="9136" w:type="dxa"/>
        <w:jc w:val="center"/>
        <w:tblLayout w:type="fixed"/>
        <w:tblLook w:val="04A0" w:firstRow="1" w:lastRow="0" w:firstColumn="1" w:lastColumn="0" w:noHBand="0" w:noVBand="1"/>
      </w:tblPr>
      <w:tblGrid>
        <w:gridCol w:w="2015"/>
        <w:gridCol w:w="1334"/>
        <w:gridCol w:w="1560"/>
        <w:gridCol w:w="1417"/>
        <w:gridCol w:w="1276"/>
        <w:gridCol w:w="1534"/>
      </w:tblGrid>
      <w:tr w:rsidR="00257DD5" w:rsidRPr="00A51A7C" w:rsidTr="0031077D">
        <w:trPr>
          <w:trHeight w:val="300"/>
          <w:jc w:val="center"/>
        </w:trPr>
        <w:tc>
          <w:tcPr>
            <w:tcW w:w="4909" w:type="dxa"/>
            <w:gridSpan w:val="3"/>
            <w:tcBorders>
              <w:top w:val="single" w:sz="4" w:space="0" w:color="auto"/>
              <w:bottom w:val="single" w:sz="4" w:space="0" w:color="auto"/>
              <w:right w:val="single" w:sz="4" w:space="0" w:color="auto"/>
            </w:tcBorders>
            <w:shd w:val="clear" w:color="auto" w:fill="auto"/>
            <w:noWrap/>
            <w:vAlign w:val="bottom"/>
            <w:hideMark/>
          </w:tcPr>
          <w:p w:rsidR="0031077D" w:rsidRPr="00A51A7C" w:rsidRDefault="0031077D" w:rsidP="002246F8">
            <w:pPr>
              <w:keepNext/>
              <w:keepLines/>
              <w:jc w:val="center"/>
              <w:outlineLvl w:val="0"/>
              <w:rPr>
                <w:rFonts w:cs="Times"/>
                <w:szCs w:val="24"/>
              </w:rPr>
            </w:pPr>
            <w:r w:rsidRPr="00A51A7C">
              <w:rPr>
                <w:rFonts w:cs="Times"/>
                <w:szCs w:val="24"/>
                <w:vertAlign w:val="superscript"/>
              </w:rPr>
              <w:t>152</w:t>
            </w:r>
            <w:r w:rsidRPr="00A51A7C">
              <w:rPr>
                <w:rFonts w:cs="Times"/>
                <w:szCs w:val="24"/>
              </w:rPr>
              <w:t>Sm@CNT</w:t>
            </w:r>
          </w:p>
        </w:tc>
        <w:tc>
          <w:tcPr>
            <w:tcW w:w="4227" w:type="dxa"/>
            <w:gridSpan w:val="3"/>
            <w:tcBorders>
              <w:top w:val="single" w:sz="4" w:space="0" w:color="auto"/>
              <w:left w:val="single" w:sz="4" w:space="0" w:color="auto"/>
              <w:bottom w:val="single" w:sz="4" w:space="0" w:color="auto"/>
            </w:tcBorders>
            <w:shd w:val="clear" w:color="auto" w:fill="auto"/>
            <w:vAlign w:val="bottom"/>
          </w:tcPr>
          <w:p w:rsidR="0031077D" w:rsidRPr="00A51A7C" w:rsidRDefault="0031077D" w:rsidP="002246F8">
            <w:pPr>
              <w:keepNext/>
              <w:keepLines/>
              <w:jc w:val="center"/>
              <w:outlineLvl w:val="0"/>
              <w:rPr>
                <w:rFonts w:cs="Times"/>
                <w:szCs w:val="24"/>
              </w:rPr>
            </w:pPr>
            <w:r w:rsidRPr="00A51A7C">
              <w:rPr>
                <w:rFonts w:cs="Times"/>
                <w:szCs w:val="24"/>
                <w:vertAlign w:val="superscript"/>
              </w:rPr>
              <w:t>153</w:t>
            </w:r>
            <w:r w:rsidRPr="00A51A7C">
              <w:rPr>
                <w:rFonts w:cs="Times"/>
                <w:szCs w:val="24"/>
              </w:rPr>
              <w:t>Sm@CNT</w:t>
            </w:r>
          </w:p>
        </w:tc>
      </w:tr>
      <w:tr w:rsidR="00257DD5" w:rsidRPr="00A51A7C" w:rsidTr="0031077D">
        <w:trPr>
          <w:trHeight w:val="300"/>
          <w:jc w:val="center"/>
        </w:trPr>
        <w:tc>
          <w:tcPr>
            <w:tcW w:w="2015" w:type="dxa"/>
            <w:tcBorders>
              <w:top w:val="single" w:sz="4" w:space="0" w:color="auto"/>
              <w:bottom w:val="single" w:sz="4" w:space="0" w:color="auto"/>
              <w:right w:val="single" w:sz="4" w:space="0" w:color="FFFFFF" w:themeColor="background1"/>
            </w:tcBorders>
            <w:shd w:val="clear" w:color="auto" w:fill="auto"/>
            <w:noWrap/>
            <w:vAlign w:val="center"/>
            <w:hideMark/>
          </w:tcPr>
          <w:p w:rsidR="0031077D" w:rsidRPr="00A51A7C" w:rsidRDefault="0031077D" w:rsidP="0031077D">
            <w:pPr>
              <w:keepNext/>
              <w:keepLines/>
              <w:spacing w:after="0"/>
              <w:outlineLvl w:val="0"/>
              <w:rPr>
                <w:rFonts w:cs="Times"/>
                <w:bCs/>
                <w:szCs w:val="24"/>
              </w:rPr>
            </w:pPr>
            <w:r w:rsidRPr="00A51A7C">
              <w:rPr>
                <w:rFonts w:cs="Times"/>
                <w:bCs/>
                <w:szCs w:val="24"/>
              </w:rPr>
              <w:t>Starting material</w:t>
            </w:r>
          </w:p>
        </w:tc>
        <w:tc>
          <w:tcPr>
            <w:tcW w:w="1334" w:type="dxa"/>
            <w:tcBorders>
              <w:top w:val="single" w:sz="4" w:space="0" w:color="auto"/>
              <w:left w:val="single" w:sz="4" w:space="0" w:color="FFFFFF" w:themeColor="background1"/>
              <w:bottom w:val="single" w:sz="4" w:space="0" w:color="auto"/>
              <w:right w:val="single" w:sz="4" w:space="0" w:color="FFFFFF" w:themeColor="background1"/>
            </w:tcBorders>
            <w:shd w:val="clear" w:color="auto" w:fill="auto"/>
            <w:noWrap/>
            <w:vAlign w:val="center"/>
            <w:hideMark/>
          </w:tcPr>
          <w:p w:rsidR="0031077D" w:rsidRPr="00A51A7C" w:rsidRDefault="0031077D" w:rsidP="0031077D">
            <w:pPr>
              <w:keepNext/>
              <w:keepLines/>
              <w:spacing w:after="0"/>
              <w:outlineLvl w:val="0"/>
              <w:rPr>
                <w:rFonts w:cs="Times"/>
                <w:bCs/>
                <w:szCs w:val="24"/>
              </w:rPr>
            </w:pPr>
            <w:r w:rsidRPr="00A51A7C">
              <w:rPr>
                <w:rFonts w:cs="Times"/>
                <w:bCs/>
                <w:szCs w:val="24"/>
              </w:rPr>
              <w:t>%</w:t>
            </w:r>
            <w:r w:rsidRPr="00A51A7C">
              <w:rPr>
                <w:rFonts w:cs="Times"/>
                <w:bCs/>
                <w:szCs w:val="24"/>
                <w:vertAlign w:val="superscript"/>
              </w:rPr>
              <w:t>152</w:t>
            </w:r>
            <w:r w:rsidRPr="00A51A7C">
              <w:rPr>
                <w:rFonts w:cs="Times"/>
                <w:bCs/>
                <w:szCs w:val="24"/>
              </w:rPr>
              <w:t>Sm</w:t>
            </w:r>
          </w:p>
          <w:p w:rsidR="0031077D" w:rsidRPr="00A51A7C" w:rsidRDefault="0031077D" w:rsidP="0031077D">
            <w:pPr>
              <w:keepNext/>
              <w:keepLines/>
              <w:spacing w:after="0"/>
              <w:outlineLvl w:val="0"/>
              <w:rPr>
                <w:rFonts w:cs="Times"/>
                <w:bCs/>
                <w:szCs w:val="24"/>
              </w:rPr>
            </w:pPr>
            <w:r w:rsidRPr="00A51A7C">
              <w:rPr>
                <w:rFonts w:cs="Times"/>
                <w:bCs/>
                <w:szCs w:val="24"/>
              </w:rPr>
              <w:t>(ICP-MS)</w:t>
            </w:r>
          </w:p>
        </w:tc>
        <w:tc>
          <w:tcPr>
            <w:tcW w:w="1560" w:type="dxa"/>
            <w:tcBorders>
              <w:top w:val="single" w:sz="4" w:space="0" w:color="auto"/>
              <w:left w:val="single" w:sz="4" w:space="0" w:color="FFFFFF" w:themeColor="background1"/>
              <w:bottom w:val="single" w:sz="4" w:space="0" w:color="auto"/>
              <w:right w:val="nil"/>
            </w:tcBorders>
            <w:shd w:val="clear" w:color="auto" w:fill="auto"/>
            <w:vAlign w:val="center"/>
          </w:tcPr>
          <w:p w:rsidR="0031077D" w:rsidRPr="00A51A7C" w:rsidRDefault="0031077D" w:rsidP="0031077D">
            <w:pPr>
              <w:keepNext/>
              <w:keepLines/>
              <w:spacing w:after="0"/>
              <w:jc w:val="center"/>
              <w:outlineLvl w:val="0"/>
              <w:rPr>
                <w:rFonts w:cs="Times"/>
                <w:bCs/>
                <w:szCs w:val="24"/>
              </w:rPr>
            </w:pPr>
            <w:r w:rsidRPr="00A51A7C">
              <w:rPr>
                <w:rFonts w:cs="Times"/>
                <w:bCs/>
                <w:szCs w:val="24"/>
              </w:rPr>
              <w:t>Neutron irradiation [h]</w:t>
            </w:r>
          </w:p>
        </w:tc>
        <w:tc>
          <w:tcPr>
            <w:tcW w:w="1417" w:type="dxa"/>
            <w:tcBorders>
              <w:top w:val="single" w:sz="4" w:space="0" w:color="auto"/>
              <w:left w:val="single" w:sz="4" w:space="0" w:color="auto"/>
              <w:bottom w:val="single" w:sz="4" w:space="0" w:color="auto"/>
              <w:right w:val="single" w:sz="4" w:space="0" w:color="FFFFFF" w:themeColor="background1"/>
            </w:tcBorders>
            <w:shd w:val="clear" w:color="auto" w:fill="auto"/>
            <w:vAlign w:val="center"/>
          </w:tcPr>
          <w:p w:rsidR="0031077D" w:rsidRPr="00A51A7C" w:rsidRDefault="0031077D" w:rsidP="0031077D">
            <w:pPr>
              <w:spacing w:after="0"/>
              <w:jc w:val="center"/>
              <w:rPr>
                <w:rFonts w:cs="Times"/>
                <w:szCs w:val="24"/>
              </w:rPr>
            </w:pPr>
            <w:r w:rsidRPr="00A51A7C">
              <w:rPr>
                <w:rFonts w:cs="Times"/>
                <w:szCs w:val="24"/>
              </w:rPr>
              <w:t>Predicted</w:t>
            </w:r>
          </w:p>
          <w:p w:rsidR="0031077D" w:rsidRPr="00A51A7C" w:rsidRDefault="0031077D" w:rsidP="0031077D">
            <w:pPr>
              <w:spacing w:after="0"/>
              <w:jc w:val="center"/>
              <w:rPr>
                <w:rFonts w:cs="Times"/>
                <w:szCs w:val="24"/>
              </w:rPr>
            </w:pPr>
            <w:r w:rsidRPr="00A51A7C">
              <w:rPr>
                <w:rFonts w:cs="Times"/>
                <w:szCs w:val="24"/>
              </w:rPr>
              <w:t>SRA</w:t>
            </w:r>
          </w:p>
          <w:p w:rsidR="0031077D" w:rsidRPr="00A51A7C" w:rsidRDefault="0031077D" w:rsidP="0031077D">
            <w:pPr>
              <w:keepNext/>
              <w:keepLines/>
              <w:spacing w:after="0"/>
              <w:jc w:val="center"/>
              <w:outlineLvl w:val="0"/>
              <w:rPr>
                <w:rFonts w:cs="Times"/>
                <w:bCs/>
                <w:szCs w:val="24"/>
              </w:rPr>
            </w:pPr>
            <w:r w:rsidRPr="00A51A7C">
              <w:rPr>
                <w:rFonts w:cs="Times"/>
                <w:bCs/>
                <w:szCs w:val="24"/>
              </w:rPr>
              <w:t>[</w:t>
            </w:r>
            <w:proofErr w:type="spellStart"/>
            <w:r w:rsidRPr="00A51A7C">
              <w:rPr>
                <w:rFonts w:cs="Times"/>
                <w:bCs/>
                <w:szCs w:val="24"/>
              </w:rPr>
              <w:t>GBq</w:t>
            </w:r>
            <w:proofErr w:type="spellEnd"/>
            <w:r w:rsidRPr="00A51A7C">
              <w:rPr>
                <w:rFonts w:cs="Times"/>
                <w:bCs/>
                <w:szCs w:val="24"/>
              </w:rPr>
              <w:t>/mg]</w:t>
            </w:r>
          </w:p>
        </w:tc>
        <w:tc>
          <w:tcPr>
            <w:tcW w:w="1276" w:type="dxa"/>
            <w:tcBorders>
              <w:top w:val="single" w:sz="4" w:space="0" w:color="auto"/>
              <w:left w:val="single" w:sz="4" w:space="0" w:color="FFFFFF" w:themeColor="background1"/>
              <w:bottom w:val="single" w:sz="4" w:space="0" w:color="auto"/>
              <w:right w:val="single" w:sz="4" w:space="0" w:color="FFFFFF" w:themeColor="background1"/>
            </w:tcBorders>
            <w:shd w:val="clear" w:color="auto" w:fill="auto"/>
            <w:vAlign w:val="center"/>
          </w:tcPr>
          <w:p w:rsidR="0031077D" w:rsidRPr="00A51A7C" w:rsidRDefault="0031077D" w:rsidP="0031077D">
            <w:pPr>
              <w:keepNext/>
              <w:keepLines/>
              <w:spacing w:after="0"/>
              <w:jc w:val="center"/>
              <w:outlineLvl w:val="0"/>
              <w:rPr>
                <w:rFonts w:cs="Times"/>
                <w:bCs/>
                <w:szCs w:val="24"/>
              </w:rPr>
            </w:pPr>
            <w:r w:rsidRPr="00A51A7C">
              <w:rPr>
                <w:rFonts w:cs="Times"/>
                <w:bCs/>
                <w:szCs w:val="24"/>
              </w:rPr>
              <w:t>Observed</w:t>
            </w:r>
          </w:p>
          <w:p w:rsidR="0031077D" w:rsidRPr="00A51A7C" w:rsidRDefault="0031077D" w:rsidP="0031077D">
            <w:pPr>
              <w:keepNext/>
              <w:keepLines/>
              <w:spacing w:after="0"/>
              <w:jc w:val="center"/>
              <w:outlineLvl w:val="0"/>
              <w:rPr>
                <w:rFonts w:cs="Times"/>
                <w:bCs/>
                <w:szCs w:val="24"/>
              </w:rPr>
            </w:pPr>
            <w:r w:rsidRPr="00A51A7C">
              <w:rPr>
                <w:rFonts w:cs="Times"/>
                <w:bCs/>
                <w:szCs w:val="24"/>
              </w:rPr>
              <w:t>SRA</w:t>
            </w:r>
          </w:p>
          <w:p w:rsidR="0031077D" w:rsidRPr="00A51A7C" w:rsidRDefault="0031077D" w:rsidP="0031077D">
            <w:pPr>
              <w:keepNext/>
              <w:keepLines/>
              <w:spacing w:after="0"/>
              <w:jc w:val="center"/>
              <w:outlineLvl w:val="0"/>
              <w:rPr>
                <w:rFonts w:cs="Times"/>
                <w:bCs/>
                <w:szCs w:val="24"/>
              </w:rPr>
            </w:pPr>
            <w:r w:rsidRPr="00A51A7C">
              <w:rPr>
                <w:rFonts w:cs="Times"/>
                <w:bCs/>
                <w:szCs w:val="24"/>
              </w:rPr>
              <w:t>[</w:t>
            </w:r>
            <w:proofErr w:type="spellStart"/>
            <w:r w:rsidRPr="00A51A7C">
              <w:rPr>
                <w:rFonts w:cs="Times"/>
                <w:bCs/>
                <w:szCs w:val="24"/>
              </w:rPr>
              <w:t>GBq</w:t>
            </w:r>
            <w:proofErr w:type="spellEnd"/>
            <w:r w:rsidRPr="00A51A7C">
              <w:rPr>
                <w:rFonts w:cs="Times"/>
                <w:bCs/>
                <w:szCs w:val="24"/>
              </w:rPr>
              <w:t>/mg]</w:t>
            </w:r>
          </w:p>
        </w:tc>
        <w:tc>
          <w:tcPr>
            <w:tcW w:w="1534" w:type="dxa"/>
            <w:tcBorders>
              <w:top w:val="single" w:sz="4" w:space="0" w:color="auto"/>
              <w:left w:val="single" w:sz="4" w:space="0" w:color="FFFFFF" w:themeColor="background1"/>
              <w:bottom w:val="single" w:sz="4" w:space="0" w:color="auto"/>
            </w:tcBorders>
            <w:shd w:val="clear" w:color="auto" w:fill="auto"/>
            <w:vAlign w:val="center"/>
          </w:tcPr>
          <w:p w:rsidR="0031077D" w:rsidRPr="00A51A7C" w:rsidRDefault="0031077D" w:rsidP="0031077D">
            <w:pPr>
              <w:keepNext/>
              <w:keepLines/>
              <w:spacing w:after="0"/>
              <w:jc w:val="center"/>
              <w:outlineLvl w:val="0"/>
              <w:rPr>
                <w:rFonts w:cs="Times"/>
                <w:bCs/>
                <w:szCs w:val="24"/>
              </w:rPr>
            </w:pPr>
            <w:r w:rsidRPr="00A51A7C">
              <w:rPr>
                <w:rFonts w:cs="Times"/>
                <w:bCs/>
                <w:szCs w:val="24"/>
              </w:rPr>
              <w:t>ITLC %</w:t>
            </w:r>
          </w:p>
          <w:p w:rsidR="0031077D" w:rsidRPr="00A51A7C" w:rsidRDefault="0031077D" w:rsidP="0031077D">
            <w:pPr>
              <w:keepNext/>
              <w:keepLines/>
              <w:spacing w:after="0"/>
              <w:jc w:val="center"/>
              <w:outlineLvl w:val="0"/>
              <w:rPr>
                <w:rFonts w:cs="Times"/>
                <w:bCs/>
                <w:szCs w:val="24"/>
              </w:rPr>
            </w:pPr>
            <w:r w:rsidRPr="00A51A7C">
              <w:rPr>
                <w:rFonts w:cs="Times"/>
                <w:bCs/>
                <w:szCs w:val="24"/>
              </w:rPr>
              <w:t>Purity</w:t>
            </w:r>
          </w:p>
        </w:tc>
      </w:tr>
      <w:tr w:rsidR="00257DD5" w:rsidRPr="00A51A7C" w:rsidTr="0031077D">
        <w:trPr>
          <w:trHeight w:val="300"/>
          <w:jc w:val="center"/>
        </w:trPr>
        <w:tc>
          <w:tcPr>
            <w:tcW w:w="2015" w:type="dxa"/>
            <w:tcBorders>
              <w:top w:val="single" w:sz="4" w:space="0" w:color="auto"/>
              <w:bottom w:val="single" w:sz="4" w:space="0" w:color="auto"/>
              <w:right w:val="single" w:sz="4" w:space="0" w:color="FFFFFF" w:themeColor="background1"/>
            </w:tcBorders>
            <w:shd w:val="clear" w:color="auto" w:fill="auto"/>
            <w:noWrap/>
            <w:vAlign w:val="bottom"/>
            <w:hideMark/>
          </w:tcPr>
          <w:p w:rsidR="0031077D" w:rsidRPr="00A51A7C" w:rsidRDefault="0031077D" w:rsidP="002246F8">
            <w:pPr>
              <w:keepNext/>
              <w:keepLines/>
              <w:outlineLvl w:val="0"/>
              <w:rPr>
                <w:rFonts w:cs="Times"/>
                <w:szCs w:val="24"/>
              </w:rPr>
            </w:pPr>
            <w:r w:rsidRPr="00A51A7C">
              <w:rPr>
                <w:rFonts w:cs="Times"/>
                <w:bCs/>
                <w:szCs w:val="24"/>
                <w:vertAlign w:val="superscript"/>
              </w:rPr>
              <w:t>152</w:t>
            </w:r>
            <w:r w:rsidRPr="00A51A7C">
              <w:rPr>
                <w:rFonts w:cs="Times"/>
                <w:bCs/>
                <w:szCs w:val="24"/>
              </w:rPr>
              <w:t>Sm@SWNT</w:t>
            </w:r>
          </w:p>
        </w:tc>
        <w:tc>
          <w:tcPr>
            <w:tcW w:w="1334" w:type="dxa"/>
            <w:tcBorders>
              <w:top w:val="single" w:sz="4" w:space="0" w:color="auto"/>
              <w:left w:val="single" w:sz="4" w:space="0" w:color="FFFFFF" w:themeColor="background1"/>
              <w:bottom w:val="single" w:sz="4" w:space="0" w:color="auto"/>
              <w:right w:val="single" w:sz="4" w:space="0" w:color="FFFFFF" w:themeColor="background1"/>
            </w:tcBorders>
            <w:shd w:val="clear" w:color="auto" w:fill="auto"/>
            <w:noWrap/>
            <w:vAlign w:val="bottom"/>
            <w:hideMark/>
          </w:tcPr>
          <w:p w:rsidR="0031077D" w:rsidRPr="00A51A7C" w:rsidRDefault="0031077D" w:rsidP="002246F8">
            <w:pPr>
              <w:keepNext/>
              <w:keepLines/>
              <w:jc w:val="center"/>
              <w:outlineLvl w:val="0"/>
              <w:rPr>
                <w:rFonts w:cs="Times"/>
                <w:szCs w:val="24"/>
              </w:rPr>
            </w:pPr>
            <w:r w:rsidRPr="00A51A7C">
              <w:rPr>
                <w:rFonts w:cs="Times"/>
                <w:szCs w:val="24"/>
              </w:rPr>
              <w:t>12.3</w:t>
            </w:r>
          </w:p>
        </w:tc>
        <w:tc>
          <w:tcPr>
            <w:tcW w:w="1560" w:type="dxa"/>
            <w:tcBorders>
              <w:top w:val="single" w:sz="4" w:space="0" w:color="auto"/>
              <w:left w:val="single" w:sz="4" w:space="0" w:color="FFFFFF" w:themeColor="background1"/>
              <w:bottom w:val="single" w:sz="4" w:space="0" w:color="auto"/>
              <w:right w:val="nil"/>
            </w:tcBorders>
            <w:shd w:val="clear" w:color="auto" w:fill="auto"/>
            <w:vAlign w:val="bottom"/>
          </w:tcPr>
          <w:p w:rsidR="0031077D" w:rsidRPr="00A51A7C" w:rsidRDefault="0031077D" w:rsidP="002246F8">
            <w:pPr>
              <w:keepNext/>
              <w:keepLines/>
              <w:jc w:val="center"/>
              <w:outlineLvl w:val="0"/>
              <w:rPr>
                <w:rFonts w:cs="Times"/>
                <w:szCs w:val="24"/>
              </w:rPr>
            </w:pPr>
            <w:r w:rsidRPr="00A51A7C">
              <w:rPr>
                <w:rFonts w:cs="Times"/>
                <w:szCs w:val="24"/>
              </w:rPr>
              <w:t>96</w:t>
            </w:r>
          </w:p>
        </w:tc>
        <w:tc>
          <w:tcPr>
            <w:tcW w:w="1417" w:type="dxa"/>
            <w:tcBorders>
              <w:top w:val="single" w:sz="4" w:space="0" w:color="auto"/>
              <w:left w:val="single" w:sz="4" w:space="0" w:color="auto"/>
              <w:bottom w:val="single" w:sz="4" w:space="0" w:color="auto"/>
              <w:right w:val="single" w:sz="4" w:space="0" w:color="FFFFFF" w:themeColor="background1"/>
            </w:tcBorders>
            <w:shd w:val="clear" w:color="auto" w:fill="auto"/>
            <w:vAlign w:val="bottom"/>
          </w:tcPr>
          <w:p w:rsidR="0031077D" w:rsidRPr="00A51A7C" w:rsidRDefault="0031077D" w:rsidP="002246F8">
            <w:pPr>
              <w:keepNext/>
              <w:keepLines/>
              <w:jc w:val="center"/>
              <w:outlineLvl w:val="0"/>
              <w:rPr>
                <w:rFonts w:cs="Times"/>
                <w:szCs w:val="24"/>
              </w:rPr>
            </w:pPr>
            <w:r w:rsidRPr="00A51A7C">
              <w:rPr>
                <w:rFonts w:cs="Times"/>
                <w:szCs w:val="24"/>
              </w:rPr>
              <w:t>7.77</w:t>
            </w:r>
          </w:p>
        </w:tc>
        <w:tc>
          <w:tcPr>
            <w:tcW w:w="1276" w:type="dxa"/>
            <w:tcBorders>
              <w:top w:val="single" w:sz="4" w:space="0" w:color="auto"/>
              <w:left w:val="single" w:sz="4" w:space="0" w:color="FFFFFF" w:themeColor="background1"/>
              <w:bottom w:val="single" w:sz="4" w:space="0" w:color="auto"/>
              <w:right w:val="single" w:sz="4" w:space="0" w:color="FFFFFF" w:themeColor="background1"/>
            </w:tcBorders>
            <w:shd w:val="clear" w:color="auto" w:fill="auto"/>
            <w:vAlign w:val="bottom"/>
          </w:tcPr>
          <w:p w:rsidR="0031077D" w:rsidRPr="00A51A7C" w:rsidRDefault="0031077D" w:rsidP="002246F8">
            <w:pPr>
              <w:keepNext/>
              <w:keepLines/>
              <w:jc w:val="center"/>
              <w:outlineLvl w:val="0"/>
              <w:rPr>
                <w:rFonts w:cs="Times"/>
                <w:szCs w:val="24"/>
              </w:rPr>
            </w:pPr>
            <w:r w:rsidRPr="00A51A7C">
              <w:rPr>
                <w:rFonts w:cs="Times"/>
                <w:szCs w:val="24"/>
              </w:rPr>
              <w:t>6.33</w:t>
            </w:r>
          </w:p>
        </w:tc>
        <w:tc>
          <w:tcPr>
            <w:tcW w:w="1534" w:type="dxa"/>
            <w:tcBorders>
              <w:top w:val="single" w:sz="4" w:space="0" w:color="auto"/>
              <w:left w:val="single" w:sz="4" w:space="0" w:color="FFFFFF" w:themeColor="background1"/>
              <w:bottom w:val="single" w:sz="4" w:space="0" w:color="auto"/>
            </w:tcBorders>
            <w:shd w:val="clear" w:color="auto" w:fill="auto"/>
            <w:vAlign w:val="bottom"/>
          </w:tcPr>
          <w:p w:rsidR="0031077D" w:rsidRPr="00A51A7C" w:rsidRDefault="0031077D" w:rsidP="002246F8">
            <w:pPr>
              <w:keepNext/>
              <w:keepLines/>
              <w:jc w:val="center"/>
              <w:outlineLvl w:val="0"/>
              <w:rPr>
                <w:rFonts w:cs="Times"/>
                <w:szCs w:val="24"/>
              </w:rPr>
            </w:pPr>
            <w:r w:rsidRPr="00A51A7C">
              <w:rPr>
                <w:rFonts w:cs="Times"/>
                <w:szCs w:val="24"/>
              </w:rPr>
              <w:t>70</w:t>
            </w:r>
          </w:p>
        </w:tc>
      </w:tr>
      <w:tr w:rsidR="0031077D" w:rsidRPr="00A51A7C" w:rsidTr="0031077D">
        <w:trPr>
          <w:trHeight w:val="300"/>
          <w:jc w:val="center"/>
        </w:trPr>
        <w:tc>
          <w:tcPr>
            <w:tcW w:w="2015" w:type="dxa"/>
            <w:tcBorders>
              <w:top w:val="single" w:sz="4" w:space="0" w:color="auto"/>
              <w:bottom w:val="single" w:sz="4" w:space="0" w:color="auto"/>
              <w:right w:val="single" w:sz="4" w:space="0" w:color="FFFFFF" w:themeColor="background1"/>
            </w:tcBorders>
            <w:shd w:val="clear" w:color="auto" w:fill="auto"/>
            <w:noWrap/>
            <w:vAlign w:val="bottom"/>
            <w:hideMark/>
          </w:tcPr>
          <w:p w:rsidR="0031077D" w:rsidRPr="00A51A7C" w:rsidRDefault="0031077D" w:rsidP="002246F8">
            <w:pPr>
              <w:keepNext/>
              <w:keepLines/>
              <w:outlineLvl w:val="0"/>
              <w:rPr>
                <w:rFonts w:cs="Times"/>
                <w:szCs w:val="24"/>
              </w:rPr>
            </w:pPr>
            <w:r w:rsidRPr="00A51A7C">
              <w:rPr>
                <w:rFonts w:cs="Times"/>
                <w:bCs/>
                <w:szCs w:val="24"/>
                <w:vertAlign w:val="superscript"/>
              </w:rPr>
              <w:t>152</w:t>
            </w:r>
            <w:r w:rsidRPr="00A51A7C">
              <w:rPr>
                <w:rFonts w:cs="Times"/>
                <w:bCs/>
                <w:szCs w:val="24"/>
              </w:rPr>
              <w:t>Sm@MWNT</w:t>
            </w:r>
          </w:p>
        </w:tc>
        <w:tc>
          <w:tcPr>
            <w:tcW w:w="1334" w:type="dxa"/>
            <w:tcBorders>
              <w:top w:val="single" w:sz="4" w:space="0" w:color="auto"/>
              <w:left w:val="single" w:sz="4" w:space="0" w:color="FFFFFF" w:themeColor="background1"/>
              <w:bottom w:val="single" w:sz="4" w:space="0" w:color="auto"/>
              <w:right w:val="single" w:sz="4" w:space="0" w:color="FFFFFF" w:themeColor="background1"/>
            </w:tcBorders>
            <w:shd w:val="clear" w:color="auto" w:fill="auto"/>
            <w:noWrap/>
            <w:vAlign w:val="bottom"/>
            <w:hideMark/>
          </w:tcPr>
          <w:p w:rsidR="0031077D" w:rsidRPr="00A51A7C" w:rsidRDefault="0031077D" w:rsidP="002246F8">
            <w:pPr>
              <w:keepNext/>
              <w:keepLines/>
              <w:jc w:val="center"/>
              <w:outlineLvl w:val="0"/>
              <w:rPr>
                <w:rFonts w:cs="Times"/>
                <w:szCs w:val="24"/>
              </w:rPr>
            </w:pPr>
            <w:r w:rsidRPr="00A51A7C">
              <w:rPr>
                <w:rFonts w:cs="Times"/>
                <w:szCs w:val="24"/>
              </w:rPr>
              <w:t>17.6</w:t>
            </w:r>
          </w:p>
        </w:tc>
        <w:tc>
          <w:tcPr>
            <w:tcW w:w="1560" w:type="dxa"/>
            <w:tcBorders>
              <w:top w:val="single" w:sz="4" w:space="0" w:color="auto"/>
              <w:left w:val="single" w:sz="4" w:space="0" w:color="FFFFFF" w:themeColor="background1"/>
              <w:bottom w:val="single" w:sz="4" w:space="0" w:color="auto"/>
              <w:right w:val="nil"/>
            </w:tcBorders>
            <w:shd w:val="clear" w:color="auto" w:fill="auto"/>
            <w:vAlign w:val="bottom"/>
          </w:tcPr>
          <w:p w:rsidR="0031077D" w:rsidRPr="00A51A7C" w:rsidRDefault="0031077D" w:rsidP="002246F8">
            <w:pPr>
              <w:keepNext/>
              <w:keepLines/>
              <w:jc w:val="center"/>
              <w:outlineLvl w:val="0"/>
              <w:rPr>
                <w:rFonts w:cs="Times"/>
                <w:szCs w:val="24"/>
              </w:rPr>
            </w:pPr>
            <w:r w:rsidRPr="00A51A7C">
              <w:rPr>
                <w:rFonts w:cs="Times"/>
                <w:szCs w:val="24"/>
              </w:rPr>
              <w:t>96</w:t>
            </w:r>
          </w:p>
        </w:tc>
        <w:tc>
          <w:tcPr>
            <w:tcW w:w="1417" w:type="dxa"/>
            <w:tcBorders>
              <w:top w:val="single" w:sz="4" w:space="0" w:color="auto"/>
              <w:left w:val="single" w:sz="4" w:space="0" w:color="auto"/>
              <w:bottom w:val="single" w:sz="4" w:space="0" w:color="auto"/>
              <w:right w:val="single" w:sz="4" w:space="0" w:color="FFFFFF" w:themeColor="background1"/>
            </w:tcBorders>
            <w:shd w:val="clear" w:color="auto" w:fill="auto"/>
            <w:vAlign w:val="bottom"/>
          </w:tcPr>
          <w:p w:rsidR="0031077D" w:rsidRPr="00A51A7C" w:rsidRDefault="0031077D" w:rsidP="002246F8">
            <w:pPr>
              <w:keepNext/>
              <w:keepLines/>
              <w:jc w:val="center"/>
              <w:outlineLvl w:val="0"/>
              <w:rPr>
                <w:rFonts w:cs="Times"/>
                <w:szCs w:val="24"/>
              </w:rPr>
            </w:pPr>
            <w:r w:rsidRPr="00A51A7C">
              <w:rPr>
                <w:rFonts w:cs="Times"/>
                <w:szCs w:val="24"/>
              </w:rPr>
              <w:t>11.11</w:t>
            </w:r>
          </w:p>
        </w:tc>
        <w:tc>
          <w:tcPr>
            <w:tcW w:w="1276" w:type="dxa"/>
            <w:tcBorders>
              <w:top w:val="single" w:sz="4" w:space="0" w:color="auto"/>
              <w:left w:val="single" w:sz="4" w:space="0" w:color="FFFFFF" w:themeColor="background1"/>
              <w:bottom w:val="single" w:sz="4" w:space="0" w:color="auto"/>
              <w:right w:val="single" w:sz="4" w:space="0" w:color="FFFFFF" w:themeColor="background1"/>
            </w:tcBorders>
            <w:shd w:val="clear" w:color="auto" w:fill="auto"/>
            <w:vAlign w:val="bottom"/>
          </w:tcPr>
          <w:p w:rsidR="0031077D" w:rsidRPr="00A51A7C" w:rsidRDefault="0031077D" w:rsidP="002246F8">
            <w:pPr>
              <w:keepNext/>
              <w:keepLines/>
              <w:jc w:val="center"/>
              <w:outlineLvl w:val="0"/>
              <w:rPr>
                <w:rFonts w:cs="Times"/>
                <w:szCs w:val="24"/>
              </w:rPr>
            </w:pPr>
            <w:r w:rsidRPr="00A51A7C">
              <w:rPr>
                <w:rFonts w:cs="Times"/>
                <w:szCs w:val="24"/>
              </w:rPr>
              <w:t>11.37</w:t>
            </w:r>
          </w:p>
        </w:tc>
        <w:tc>
          <w:tcPr>
            <w:tcW w:w="1534" w:type="dxa"/>
            <w:tcBorders>
              <w:top w:val="single" w:sz="4" w:space="0" w:color="auto"/>
              <w:left w:val="single" w:sz="4" w:space="0" w:color="FFFFFF" w:themeColor="background1"/>
              <w:bottom w:val="single" w:sz="4" w:space="0" w:color="auto"/>
            </w:tcBorders>
            <w:shd w:val="clear" w:color="auto" w:fill="auto"/>
            <w:vAlign w:val="bottom"/>
          </w:tcPr>
          <w:p w:rsidR="0031077D" w:rsidRPr="00A51A7C" w:rsidRDefault="0031077D" w:rsidP="002246F8">
            <w:pPr>
              <w:keepNext/>
              <w:keepLines/>
              <w:jc w:val="center"/>
              <w:outlineLvl w:val="0"/>
              <w:rPr>
                <w:rFonts w:cs="Times"/>
                <w:szCs w:val="24"/>
              </w:rPr>
            </w:pPr>
            <w:r w:rsidRPr="00A51A7C">
              <w:rPr>
                <w:rFonts w:cs="Times"/>
                <w:szCs w:val="24"/>
              </w:rPr>
              <w:t>92</w:t>
            </w:r>
          </w:p>
        </w:tc>
      </w:tr>
    </w:tbl>
    <w:p w:rsidR="0031077D" w:rsidRPr="00A51A7C" w:rsidRDefault="0031077D" w:rsidP="0031077D">
      <w:pPr>
        <w:spacing w:line="480" w:lineRule="auto"/>
        <w:rPr>
          <w:rFonts w:cs="Times"/>
          <w:szCs w:val="32"/>
        </w:rPr>
      </w:pPr>
    </w:p>
    <w:p w:rsidR="00EF0E17" w:rsidRPr="00A51A7C" w:rsidRDefault="00EF0E17" w:rsidP="000B5610">
      <w:pPr>
        <w:pStyle w:val="TESupportingInformation"/>
        <w:spacing w:after="240"/>
        <w:ind w:firstLine="0"/>
        <w:jc w:val="left"/>
        <w:rPr>
          <w:rFonts w:cs="Times"/>
        </w:rPr>
      </w:pPr>
    </w:p>
    <w:p w:rsidR="00EF0E17" w:rsidRPr="00A51A7C" w:rsidRDefault="00EF0E17" w:rsidP="000B5610">
      <w:pPr>
        <w:pStyle w:val="TESupportingInformation"/>
        <w:spacing w:after="240"/>
        <w:ind w:firstLine="0"/>
        <w:jc w:val="left"/>
        <w:rPr>
          <w:rFonts w:cs="Times"/>
        </w:rPr>
      </w:pPr>
    </w:p>
    <w:p w:rsidR="00DD6DBB" w:rsidRPr="00A51A7C" w:rsidRDefault="00C10EE0" w:rsidP="000B5610">
      <w:pPr>
        <w:pStyle w:val="TESupportingInformation"/>
        <w:spacing w:after="240"/>
        <w:ind w:firstLine="0"/>
        <w:jc w:val="left"/>
        <w:rPr>
          <w:rFonts w:cs="Times"/>
        </w:rPr>
      </w:pPr>
      <w:r w:rsidRPr="00A51A7C">
        <w:rPr>
          <w:rFonts w:cs="Times"/>
        </w:rPr>
        <w:lastRenderedPageBreak/>
        <w:t>ASSOCIATED CONTENT</w:t>
      </w:r>
    </w:p>
    <w:p w:rsidR="003B2E27" w:rsidRPr="00A51A7C" w:rsidRDefault="00C10EE0" w:rsidP="000B5610">
      <w:pPr>
        <w:pStyle w:val="TESupportingInformation"/>
        <w:spacing w:after="240"/>
        <w:ind w:firstLine="0"/>
        <w:jc w:val="left"/>
        <w:rPr>
          <w:rFonts w:cs="Times"/>
        </w:rPr>
      </w:pPr>
      <w:r w:rsidRPr="00A51A7C">
        <w:rPr>
          <w:rFonts w:cs="Times"/>
          <w:b/>
        </w:rPr>
        <w:t>Supporting Information</w:t>
      </w:r>
      <w:r w:rsidRPr="00A51A7C">
        <w:rPr>
          <w:rFonts w:cs="Times"/>
        </w:rPr>
        <w:t xml:space="preserve">. </w:t>
      </w:r>
    </w:p>
    <w:p w:rsidR="001C758A" w:rsidRPr="00A51A7C" w:rsidRDefault="001C758A" w:rsidP="001C758A">
      <w:pPr>
        <w:pStyle w:val="TESupportingInformation"/>
        <w:spacing w:after="240"/>
        <w:ind w:firstLine="0"/>
        <w:rPr>
          <w:rFonts w:cs="Times"/>
        </w:rPr>
      </w:pPr>
      <w:r w:rsidRPr="00A51A7C">
        <w:rPr>
          <w:rFonts w:cs="Times"/>
        </w:rPr>
        <w:t xml:space="preserve">Schematic representation employed for the development of ‘hot’ nanocapsules. Length distribution of </w:t>
      </w:r>
      <w:r w:rsidRPr="00A51A7C">
        <w:rPr>
          <w:rFonts w:cs="Times"/>
          <w:vertAlign w:val="superscript"/>
        </w:rPr>
        <w:t>152</w:t>
      </w:r>
      <w:r w:rsidRPr="00A51A7C">
        <w:rPr>
          <w:rFonts w:cs="Times"/>
        </w:rPr>
        <w:t xml:space="preserve">Sm @CNT samples. External diameter distribution of </w:t>
      </w:r>
      <w:r w:rsidRPr="00A51A7C">
        <w:rPr>
          <w:rFonts w:cs="Times"/>
          <w:vertAlign w:val="superscript"/>
        </w:rPr>
        <w:t>152</w:t>
      </w:r>
      <w:r w:rsidRPr="00A51A7C">
        <w:rPr>
          <w:rFonts w:cs="Times"/>
        </w:rPr>
        <w:t xml:space="preserve">Sm @CNT samples.  ITLC analysis. HRTEM images of Sm-filled SWNTs before and after irradiation. Effect of the electron beam on the filling material. Table with neutron activated isotopes loaded onto </w:t>
      </w:r>
      <w:proofErr w:type="spellStart"/>
      <w:r w:rsidRPr="00A51A7C">
        <w:rPr>
          <w:rFonts w:cs="Times"/>
        </w:rPr>
        <w:t>nanocarriers</w:t>
      </w:r>
      <w:proofErr w:type="spellEnd"/>
      <w:r w:rsidRPr="00A51A7C">
        <w:rPr>
          <w:rFonts w:cs="Times"/>
        </w:rPr>
        <w:t xml:space="preserve">. </w:t>
      </w:r>
      <w:r w:rsidRPr="00A51A7C">
        <w:rPr>
          <w:rFonts w:cs="Times"/>
          <w:bCs/>
        </w:rPr>
        <w:t xml:space="preserve">Tissue </w:t>
      </w:r>
      <w:proofErr w:type="spellStart"/>
      <w:r w:rsidRPr="00A51A7C">
        <w:rPr>
          <w:rFonts w:cs="Times"/>
          <w:bCs/>
        </w:rPr>
        <w:t>biodistribution</w:t>
      </w:r>
      <w:proofErr w:type="spellEnd"/>
      <w:r w:rsidRPr="00A51A7C">
        <w:rPr>
          <w:rFonts w:cs="Times"/>
          <w:bCs/>
        </w:rPr>
        <w:t xml:space="preserve"> of </w:t>
      </w:r>
      <w:r w:rsidRPr="00A51A7C">
        <w:rPr>
          <w:rFonts w:cs="Times"/>
          <w:bCs/>
          <w:vertAlign w:val="superscript"/>
        </w:rPr>
        <w:t>153</w:t>
      </w:r>
      <w:r w:rsidRPr="00A51A7C">
        <w:rPr>
          <w:rFonts w:cs="Times"/>
          <w:bCs/>
        </w:rPr>
        <w:t xml:space="preserve">Sm@SWNT and </w:t>
      </w:r>
      <w:r w:rsidRPr="00A51A7C">
        <w:rPr>
          <w:rFonts w:cs="Times"/>
          <w:bCs/>
          <w:vertAlign w:val="superscript"/>
        </w:rPr>
        <w:t>153</w:t>
      </w:r>
      <w:r w:rsidRPr="00A51A7C">
        <w:rPr>
          <w:rFonts w:cs="Times"/>
          <w:bCs/>
        </w:rPr>
        <w:t xml:space="preserve">Sm@MWNT. </w:t>
      </w:r>
      <w:r w:rsidRPr="00A51A7C">
        <w:rPr>
          <w:rFonts w:eastAsia="+mn-ea" w:cs="Times"/>
          <w:bCs/>
          <w:kern w:val="24"/>
        </w:rPr>
        <w:t xml:space="preserve">Live bioluminescence images. Live bioluminescence images of untreated mice or mice treated with </w:t>
      </w:r>
      <w:r w:rsidRPr="00A51A7C">
        <w:rPr>
          <w:rFonts w:eastAsia="+mn-ea" w:cs="Times"/>
          <w:bCs/>
          <w:kern w:val="24"/>
          <w:vertAlign w:val="superscript"/>
        </w:rPr>
        <w:t>153</w:t>
      </w:r>
      <w:r w:rsidRPr="00A51A7C">
        <w:rPr>
          <w:rFonts w:eastAsia="+mn-ea" w:cs="Times"/>
          <w:bCs/>
          <w:kern w:val="24"/>
        </w:rPr>
        <w:t xml:space="preserve">Sm@CNTs. </w:t>
      </w:r>
      <w:r w:rsidRPr="00A51A7C">
        <w:rPr>
          <w:rFonts w:cs="Times"/>
          <w:bCs/>
        </w:rPr>
        <w:t xml:space="preserve">Histological examination of major organs. </w:t>
      </w:r>
      <w:r w:rsidRPr="00A51A7C">
        <w:rPr>
          <w:rFonts w:cs="Times"/>
        </w:rPr>
        <w:t xml:space="preserve">Fit of the experimental </w:t>
      </w:r>
      <w:proofErr w:type="spellStart"/>
      <w:r w:rsidRPr="00A51A7C">
        <w:rPr>
          <w:rFonts w:cs="Times"/>
        </w:rPr>
        <w:t>biodistribution</w:t>
      </w:r>
      <w:proofErr w:type="spellEnd"/>
      <w:r w:rsidRPr="00A51A7C">
        <w:rPr>
          <w:rFonts w:cs="Times"/>
        </w:rPr>
        <w:t xml:space="preserve"> data (% ID) in the lung. </w:t>
      </w:r>
      <w:r w:rsidRPr="00A51A7C">
        <w:rPr>
          <w:rFonts w:cs="Times"/>
          <w:bCs/>
        </w:rPr>
        <w:t xml:space="preserve">Additional experimental details. This material is available free of charge </w:t>
      </w:r>
      <w:r w:rsidRPr="00A51A7C">
        <w:rPr>
          <w:rFonts w:cs="Times"/>
          <w:bCs/>
          <w:i/>
        </w:rPr>
        <w:t>via</w:t>
      </w:r>
      <w:r w:rsidRPr="00A51A7C">
        <w:rPr>
          <w:rFonts w:cs="Times"/>
          <w:bCs/>
        </w:rPr>
        <w:t xml:space="preserve"> the Internet at http://pubs.acs.org.</w:t>
      </w:r>
    </w:p>
    <w:p w:rsidR="00DD6DBB" w:rsidRPr="00A51A7C" w:rsidRDefault="00DD6DBB" w:rsidP="00DD6DBB">
      <w:pPr>
        <w:pStyle w:val="FACorrespondingAuthorFootnote"/>
        <w:spacing w:after="0"/>
        <w:jc w:val="left"/>
        <w:rPr>
          <w:rFonts w:cs="Times"/>
        </w:rPr>
      </w:pPr>
      <w:r w:rsidRPr="00A51A7C">
        <w:rPr>
          <w:rFonts w:cs="Times"/>
        </w:rPr>
        <w:t>AUTHOR INFORMATION</w:t>
      </w:r>
    </w:p>
    <w:p w:rsidR="00DD6DBB" w:rsidRPr="00A51A7C" w:rsidRDefault="00DD6DBB" w:rsidP="004E7185">
      <w:pPr>
        <w:pStyle w:val="FAAuthorInfoSubtitle"/>
        <w:rPr>
          <w:rFonts w:cs="Times"/>
        </w:rPr>
      </w:pPr>
      <w:r w:rsidRPr="00A51A7C">
        <w:rPr>
          <w:rFonts w:cs="Times"/>
        </w:rPr>
        <w:t>Corresponding Author</w:t>
      </w:r>
    </w:p>
    <w:p w:rsidR="003B2E27" w:rsidRPr="00A51A7C" w:rsidRDefault="003B2E27" w:rsidP="003B2E27">
      <w:pPr>
        <w:pStyle w:val="BIEmailAddress"/>
        <w:rPr>
          <w:rFonts w:cs="Times"/>
        </w:rPr>
      </w:pPr>
      <w:r w:rsidRPr="00A51A7C">
        <w:rPr>
          <w:rFonts w:cs="Times"/>
        </w:rPr>
        <w:t>*E-mail: gerard.tobias@icmab.es (G. Tobias), khuloud.al-jamal@kcl.ac.uk (K.T. Al-Jamal), belen.ballesteros@icn2.cat (B. Ballesteros).</w:t>
      </w:r>
    </w:p>
    <w:p w:rsidR="00C10EE0" w:rsidRPr="00A51A7C" w:rsidRDefault="00C10EE0" w:rsidP="00DD6DBB">
      <w:pPr>
        <w:pStyle w:val="FAAuthorInfoSubtitle"/>
        <w:rPr>
          <w:rFonts w:cs="Times"/>
        </w:rPr>
      </w:pPr>
      <w:r w:rsidRPr="00A51A7C">
        <w:rPr>
          <w:rFonts w:cs="Times"/>
        </w:rPr>
        <w:t>Author Contributions</w:t>
      </w:r>
    </w:p>
    <w:p w:rsidR="00C10EE0" w:rsidRPr="00A51A7C" w:rsidRDefault="00C10EE0" w:rsidP="00DD6DBB">
      <w:pPr>
        <w:pStyle w:val="StyleFACorrespondingAuthorFootnote7pt"/>
        <w:spacing w:after="240" w:line="480" w:lineRule="auto"/>
        <w:rPr>
          <w:rFonts w:ascii="Times" w:hAnsi="Times" w:cs="Times"/>
          <w:kern w:val="0"/>
          <w:sz w:val="24"/>
        </w:rPr>
      </w:pPr>
      <w:r w:rsidRPr="00A51A7C">
        <w:rPr>
          <w:rFonts w:ascii="Times" w:hAnsi="Times" w:cs="Times"/>
          <w:kern w:val="0"/>
          <w:sz w:val="24"/>
        </w:rPr>
        <w:t>The manuscript was written throug</w:t>
      </w:r>
      <w:r w:rsidR="00DD6DBB" w:rsidRPr="00A51A7C">
        <w:rPr>
          <w:rFonts w:ascii="Times" w:hAnsi="Times" w:cs="Times"/>
          <w:kern w:val="0"/>
          <w:sz w:val="24"/>
        </w:rPr>
        <w:t xml:space="preserve">h contributions of all authors. </w:t>
      </w:r>
      <w:r w:rsidRPr="00A51A7C">
        <w:rPr>
          <w:rFonts w:ascii="Times" w:hAnsi="Times" w:cs="Times"/>
          <w:kern w:val="0"/>
          <w:sz w:val="24"/>
        </w:rPr>
        <w:t>All authors have given approval to the final version of the manuscript.</w:t>
      </w:r>
    </w:p>
    <w:p w:rsidR="001706C8" w:rsidRPr="00A51A7C" w:rsidRDefault="001706C8" w:rsidP="001706C8">
      <w:pPr>
        <w:pStyle w:val="TDAcknowledgments"/>
        <w:spacing w:before="0" w:after="0"/>
        <w:ind w:firstLine="0"/>
        <w:rPr>
          <w:rFonts w:cs="Times"/>
        </w:rPr>
      </w:pPr>
      <w:r w:rsidRPr="00A51A7C">
        <w:rPr>
          <w:rFonts w:cs="Times"/>
        </w:rPr>
        <w:t>ACKNOWLEDGMENT</w:t>
      </w:r>
    </w:p>
    <w:p w:rsidR="001706C8" w:rsidRPr="00A51A7C" w:rsidRDefault="00491916" w:rsidP="00491916">
      <w:pPr>
        <w:pStyle w:val="BGKeywords"/>
        <w:rPr>
          <w:rFonts w:cs="Times"/>
        </w:rPr>
      </w:pPr>
      <w:r w:rsidRPr="00A51A7C">
        <w:rPr>
          <w:rFonts w:cs="Times"/>
        </w:rPr>
        <w:t xml:space="preserve">This work received funding from the European Union’s Seventh Framework </w:t>
      </w:r>
      <w:proofErr w:type="spellStart"/>
      <w:r w:rsidRPr="00A51A7C">
        <w:rPr>
          <w:rFonts w:cs="Times"/>
        </w:rPr>
        <w:t>Programme</w:t>
      </w:r>
      <w:proofErr w:type="spellEnd"/>
      <w:r w:rsidRPr="00A51A7C">
        <w:rPr>
          <w:rFonts w:cs="Times"/>
        </w:rPr>
        <w:t xml:space="preserve"> (FP7-ITN Marie-Curie Actions, RADDEL, 290023). K.T. Al-Jamal acknowledges funding from </w:t>
      </w:r>
      <w:r w:rsidRPr="00A51A7C">
        <w:rPr>
          <w:rFonts w:cs="Times"/>
        </w:rPr>
        <w:lastRenderedPageBreak/>
        <w:t xml:space="preserve">Worldwide Cancer Research (12-1054), M. </w:t>
      </w:r>
      <w:proofErr w:type="spellStart"/>
      <w:r w:rsidRPr="00A51A7C">
        <w:rPr>
          <w:rFonts w:cs="Times"/>
        </w:rPr>
        <w:t>Kalbac</w:t>
      </w:r>
      <w:proofErr w:type="spellEnd"/>
      <w:r w:rsidRPr="00A51A7C">
        <w:rPr>
          <w:rFonts w:cs="Times"/>
        </w:rPr>
        <w:t xml:space="preserve"> from MEYS (LL1301 and LTC18039) and G. Tobias from </w:t>
      </w:r>
      <w:proofErr w:type="spellStart"/>
      <w:r w:rsidRPr="00A51A7C">
        <w:rPr>
          <w:rFonts w:cs="Times"/>
        </w:rPr>
        <w:t>Agaur</w:t>
      </w:r>
      <w:proofErr w:type="spellEnd"/>
      <w:r w:rsidRPr="00A51A7C">
        <w:rPr>
          <w:rFonts w:cs="Times"/>
        </w:rPr>
        <w:t xml:space="preserve"> (2017 SGR 581). ICMAB and ICN2 acknowledge financial support from the Spanish Ministry of Economy and Competitiveness, through the “</w:t>
      </w:r>
      <w:proofErr w:type="spellStart"/>
      <w:r w:rsidRPr="00A51A7C">
        <w:rPr>
          <w:rFonts w:cs="Times"/>
        </w:rPr>
        <w:t>Severo</w:t>
      </w:r>
      <w:proofErr w:type="spellEnd"/>
      <w:r w:rsidRPr="00A51A7C">
        <w:rPr>
          <w:rFonts w:cs="Times"/>
        </w:rPr>
        <w:t xml:space="preserve"> Ochoa” </w:t>
      </w:r>
      <w:proofErr w:type="spellStart"/>
      <w:r w:rsidRPr="00A51A7C">
        <w:rPr>
          <w:rFonts w:cs="Times"/>
        </w:rPr>
        <w:t>Programme</w:t>
      </w:r>
      <w:proofErr w:type="spellEnd"/>
      <w:r w:rsidRPr="00A51A7C">
        <w:rPr>
          <w:rFonts w:cs="Times"/>
        </w:rPr>
        <w:t xml:space="preserve"> for </w:t>
      </w:r>
      <w:proofErr w:type="spellStart"/>
      <w:r w:rsidRPr="00A51A7C">
        <w:rPr>
          <w:rFonts w:cs="Times"/>
        </w:rPr>
        <w:t>Centres</w:t>
      </w:r>
      <w:proofErr w:type="spellEnd"/>
      <w:r w:rsidRPr="00A51A7C">
        <w:rPr>
          <w:rFonts w:cs="Times"/>
        </w:rPr>
        <w:t xml:space="preserve"> of Excellence in R&amp;D (SEV-2015-0496 and SEV-2017-0706). This work was partly supported by the Centre National de la </w:t>
      </w:r>
      <w:proofErr w:type="spellStart"/>
      <w:r w:rsidRPr="00A51A7C">
        <w:rPr>
          <w:rFonts w:cs="Times"/>
        </w:rPr>
        <w:t>Recherche</w:t>
      </w:r>
      <w:proofErr w:type="spellEnd"/>
      <w:r w:rsidRPr="00A51A7C">
        <w:rPr>
          <w:rFonts w:cs="Times"/>
        </w:rPr>
        <w:t xml:space="preserve"> </w:t>
      </w:r>
      <w:proofErr w:type="spellStart"/>
      <w:r w:rsidRPr="00A51A7C">
        <w:rPr>
          <w:rFonts w:cs="Times"/>
        </w:rPr>
        <w:t>Scientifique</w:t>
      </w:r>
      <w:proofErr w:type="spellEnd"/>
      <w:r w:rsidRPr="00A51A7C">
        <w:rPr>
          <w:rFonts w:cs="Times"/>
        </w:rPr>
        <w:t xml:space="preserve"> (CNRS), by the </w:t>
      </w:r>
      <w:proofErr w:type="spellStart"/>
      <w:r w:rsidRPr="00A51A7C">
        <w:rPr>
          <w:rFonts w:cs="Times"/>
        </w:rPr>
        <w:t>Agence</w:t>
      </w:r>
      <w:proofErr w:type="spellEnd"/>
      <w:r w:rsidRPr="00A51A7C">
        <w:rPr>
          <w:rFonts w:cs="Times"/>
        </w:rPr>
        <w:t xml:space="preserve"> </w:t>
      </w:r>
      <w:proofErr w:type="spellStart"/>
      <w:r w:rsidRPr="00A51A7C">
        <w:rPr>
          <w:rFonts w:cs="Times"/>
        </w:rPr>
        <w:t>Nationale</w:t>
      </w:r>
      <w:proofErr w:type="spellEnd"/>
      <w:r w:rsidRPr="00A51A7C">
        <w:rPr>
          <w:rFonts w:cs="Times"/>
        </w:rPr>
        <w:t xml:space="preserve"> de la </w:t>
      </w:r>
      <w:proofErr w:type="spellStart"/>
      <w:r w:rsidRPr="00A51A7C">
        <w:rPr>
          <w:rFonts w:cs="Times"/>
        </w:rPr>
        <w:t>Recherche</w:t>
      </w:r>
      <w:proofErr w:type="spellEnd"/>
      <w:r w:rsidRPr="00A51A7C">
        <w:rPr>
          <w:rFonts w:cs="Times"/>
        </w:rPr>
        <w:t xml:space="preserve"> (ANR) through the </w:t>
      </w:r>
      <w:proofErr w:type="spellStart"/>
      <w:r w:rsidRPr="00A51A7C">
        <w:rPr>
          <w:rFonts w:cs="Times"/>
        </w:rPr>
        <w:t>LabEx</w:t>
      </w:r>
      <w:proofErr w:type="spellEnd"/>
      <w:r w:rsidRPr="00A51A7C">
        <w:rPr>
          <w:rFonts w:cs="Times"/>
        </w:rPr>
        <w:t xml:space="preserve"> project Chemistry of Complex Systems (ANR-10-LABX-0026_CSC) and by the International Center for Frontier Research in Chemistry (</w:t>
      </w:r>
      <w:proofErr w:type="spellStart"/>
      <w:r w:rsidRPr="00A51A7C">
        <w:rPr>
          <w:rFonts w:cs="Times"/>
        </w:rPr>
        <w:t>icFRC</w:t>
      </w:r>
      <w:proofErr w:type="spellEnd"/>
      <w:r w:rsidRPr="00A51A7C">
        <w:rPr>
          <w:rFonts w:cs="Times"/>
        </w:rPr>
        <w:t xml:space="preserve">). </w:t>
      </w:r>
      <w:r w:rsidR="001706C8" w:rsidRPr="00A51A7C">
        <w:rPr>
          <w:rFonts w:cs="Times"/>
        </w:rPr>
        <w:t xml:space="preserve">We thank Thomas Swan Co. Ltd. for supplying CNT </w:t>
      </w:r>
      <w:proofErr w:type="spellStart"/>
      <w:r w:rsidR="001706C8" w:rsidRPr="00A51A7C">
        <w:rPr>
          <w:rFonts w:cs="Times"/>
        </w:rPr>
        <w:t>Elicarb</w:t>
      </w:r>
      <w:proofErr w:type="spellEnd"/>
      <w:r w:rsidR="001706C8" w:rsidRPr="00A51A7C">
        <w:rPr>
          <w:rFonts w:cs="Times"/>
          <w:vertAlign w:val="superscript"/>
        </w:rPr>
        <w:t>®</w:t>
      </w:r>
      <w:r w:rsidR="001706C8" w:rsidRPr="00A51A7C">
        <w:rPr>
          <w:rFonts w:cs="Times"/>
        </w:rPr>
        <w:t xml:space="preserve"> samples. We are grateful to S. Sandoval (ICMAB) and C. Ramos (IQS-ICMAB) for assessing the length and diameter distribution of CNTs. </w:t>
      </w:r>
    </w:p>
    <w:p w:rsidR="009A7EE3" w:rsidRPr="00A51A7C" w:rsidRDefault="00DD6DBB" w:rsidP="00FF5FAD">
      <w:pPr>
        <w:pStyle w:val="TFReferencesSection"/>
        <w:spacing w:after="0"/>
        <w:ind w:firstLine="0"/>
        <w:rPr>
          <w:rFonts w:cs="Times"/>
        </w:rPr>
      </w:pPr>
      <w:r w:rsidRPr="00A51A7C">
        <w:rPr>
          <w:rFonts w:cs="Times"/>
        </w:rPr>
        <w:t>REFERENCES</w:t>
      </w:r>
    </w:p>
    <w:p w:rsidR="00740C39" w:rsidRPr="00A51A7C" w:rsidRDefault="00740C39" w:rsidP="00FF5FAD">
      <w:pPr>
        <w:pStyle w:val="EndNoteBibliography"/>
        <w:spacing w:after="0" w:line="480" w:lineRule="auto"/>
        <w:jc w:val="both"/>
      </w:pPr>
      <w:r w:rsidRPr="00A51A7C">
        <w:t>1.</w:t>
      </w:r>
      <w:r w:rsidRPr="00A51A7C">
        <w:tab/>
        <w:t xml:space="preserve">Hartshorn, C. M.; Bradbury, M. S.; Lanza, G. M.; Nel, A. E.; Rao, J.; Wang, A. Z.; Wiesner, U. B.; Yang, L.; Grodzinski, P. Nanotechnology Strategies to Advance Outcomes in Clinical Cancer Care. </w:t>
      </w:r>
      <w:r w:rsidRPr="00A51A7C">
        <w:rPr>
          <w:i/>
        </w:rPr>
        <w:t xml:space="preserve">ACS Nano </w:t>
      </w:r>
      <w:r w:rsidRPr="00A51A7C">
        <w:rPr>
          <w:b/>
        </w:rPr>
        <w:t>2018</w:t>
      </w:r>
      <w:r w:rsidRPr="00A51A7C">
        <w:t xml:space="preserve">, </w:t>
      </w:r>
      <w:r w:rsidRPr="00A51A7C">
        <w:rPr>
          <w:i/>
        </w:rPr>
        <w:t>12</w:t>
      </w:r>
      <w:r w:rsidRPr="00A51A7C">
        <w:t>, 24-43.</w:t>
      </w:r>
    </w:p>
    <w:p w:rsidR="00740C39" w:rsidRPr="00A51A7C" w:rsidRDefault="00740C39" w:rsidP="00FF5FAD">
      <w:pPr>
        <w:pStyle w:val="EndNoteBibliography"/>
        <w:spacing w:after="0" w:line="480" w:lineRule="auto"/>
        <w:jc w:val="both"/>
        <w:rPr>
          <w:lang w:val="es-ES_tradnl"/>
        </w:rPr>
      </w:pPr>
      <w:r w:rsidRPr="00A51A7C">
        <w:t>2.</w:t>
      </w:r>
      <w:r w:rsidRPr="00A51A7C">
        <w:tab/>
        <w:t xml:space="preserve">Jin, Q.; Deng, Y.; Chen, X.; Ji, J. Rational Design of Cancer Nanomedicine for Simultaneous Stealth Surface and Enhanced Cellular Uptake. </w:t>
      </w:r>
      <w:r w:rsidRPr="00A51A7C">
        <w:rPr>
          <w:i/>
          <w:lang w:val="es-ES_tradnl"/>
        </w:rPr>
        <w:t xml:space="preserve">ACS Nano </w:t>
      </w:r>
      <w:r w:rsidRPr="00A51A7C">
        <w:rPr>
          <w:b/>
          <w:lang w:val="es-ES_tradnl"/>
        </w:rPr>
        <w:t>2019</w:t>
      </w:r>
      <w:r w:rsidRPr="00A51A7C">
        <w:rPr>
          <w:lang w:val="es-ES_tradnl"/>
        </w:rPr>
        <w:t xml:space="preserve">, </w:t>
      </w:r>
      <w:r w:rsidRPr="00A51A7C">
        <w:rPr>
          <w:i/>
          <w:lang w:val="es-ES_tradnl"/>
        </w:rPr>
        <w:t>13</w:t>
      </w:r>
      <w:r w:rsidRPr="00A51A7C">
        <w:rPr>
          <w:lang w:val="es-ES_tradnl"/>
        </w:rPr>
        <w:t>, 954-977.</w:t>
      </w:r>
    </w:p>
    <w:p w:rsidR="00740C39" w:rsidRPr="00A51A7C" w:rsidRDefault="00740C39" w:rsidP="00FF5FAD">
      <w:pPr>
        <w:pStyle w:val="EndNoteBibliography"/>
        <w:spacing w:after="0" w:line="480" w:lineRule="auto"/>
        <w:jc w:val="both"/>
      </w:pPr>
      <w:r w:rsidRPr="00A51A7C">
        <w:rPr>
          <w:lang w:val="es-ES_tradnl"/>
        </w:rPr>
        <w:t>3.</w:t>
      </w:r>
      <w:r w:rsidRPr="00A51A7C">
        <w:rPr>
          <w:lang w:val="es-ES_tradnl"/>
        </w:rPr>
        <w:tab/>
        <w:t xml:space="preserve">Rodríguez-Nogales, C.; González-Fernández, Y.; Aldaz, A.; Couvreur, P.; Blanco-Prieto, M. J. Nanomedicines for Pediatric Cancers. </w:t>
      </w:r>
      <w:r w:rsidRPr="00A51A7C">
        <w:rPr>
          <w:i/>
        </w:rPr>
        <w:t xml:space="preserve">ACS Nano </w:t>
      </w:r>
      <w:r w:rsidRPr="00A51A7C">
        <w:rPr>
          <w:b/>
        </w:rPr>
        <w:t>2018</w:t>
      </w:r>
      <w:r w:rsidRPr="00A51A7C">
        <w:t xml:space="preserve">, </w:t>
      </w:r>
      <w:r w:rsidRPr="00A51A7C">
        <w:rPr>
          <w:i/>
        </w:rPr>
        <w:t>12</w:t>
      </w:r>
      <w:r w:rsidRPr="00A51A7C">
        <w:t>, 7482-7496.</w:t>
      </w:r>
    </w:p>
    <w:p w:rsidR="00740C39" w:rsidRPr="00A51A7C" w:rsidRDefault="00740C39" w:rsidP="00FF5FAD">
      <w:pPr>
        <w:pStyle w:val="EndNoteBibliography"/>
        <w:spacing w:after="0" w:line="480" w:lineRule="auto"/>
        <w:jc w:val="both"/>
      </w:pPr>
      <w:r w:rsidRPr="00A51A7C">
        <w:t>4.</w:t>
      </w:r>
      <w:r w:rsidRPr="00A51A7C">
        <w:tab/>
        <w:t xml:space="preserve">Björnmalm, M.; Thurecht, K. J.; Michael, M.; Scott, A. M.; Caruso, F. Bridging Bio–Nano Science and Cancer Nanomedicine. </w:t>
      </w:r>
      <w:r w:rsidRPr="00A51A7C">
        <w:rPr>
          <w:i/>
        </w:rPr>
        <w:t xml:space="preserve">ACS Nano </w:t>
      </w:r>
      <w:r w:rsidRPr="00A51A7C">
        <w:rPr>
          <w:b/>
        </w:rPr>
        <w:t>2017</w:t>
      </w:r>
      <w:r w:rsidRPr="00A51A7C">
        <w:t xml:space="preserve">, </w:t>
      </w:r>
      <w:r w:rsidRPr="00A51A7C">
        <w:rPr>
          <w:i/>
        </w:rPr>
        <w:t>11</w:t>
      </w:r>
      <w:r w:rsidRPr="00A51A7C">
        <w:t>, 9594-9613.</w:t>
      </w:r>
    </w:p>
    <w:p w:rsidR="00740C39" w:rsidRPr="00A51A7C" w:rsidRDefault="00740C39" w:rsidP="00FF5FAD">
      <w:pPr>
        <w:pStyle w:val="EndNoteBibliography"/>
        <w:spacing w:after="0" w:line="480" w:lineRule="auto"/>
        <w:jc w:val="both"/>
      </w:pPr>
      <w:r w:rsidRPr="00A51A7C">
        <w:t>5.</w:t>
      </w:r>
      <w:r w:rsidRPr="00A51A7C">
        <w:tab/>
        <w:t xml:space="preserve">Liu, Z.; Jiang, W.; Nam, J.; Moon, J. J.; Kim, B. Y. S. Immunomodulating Nanomedicine for Cancer Therapy. </w:t>
      </w:r>
      <w:r w:rsidRPr="00A51A7C">
        <w:rPr>
          <w:i/>
        </w:rPr>
        <w:t xml:space="preserve">Nano Lett. </w:t>
      </w:r>
      <w:r w:rsidRPr="00A51A7C">
        <w:rPr>
          <w:b/>
        </w:rPr>
        <w:t>2018</w:t>
      </w:r>
      <w:r w:rsidRPr="00A51A7C">
        <w:t xml:space="preserve">, </w:t>
      </w:r>
      <w:r w:rsidRPr="00A51A7C">
        <w:rPr>
          <w:i/>
        </w:rPr>
        <w:t>18</w:t>
      </w:r>
      <w:r w:rsidRPr="00A51A7C">
        <w:t>, 6655-6659.</w:t>
      </w:r>
    </w:p>
    <w:p w:rsidR="00740C39" w:rsidRPr="00A51A7C" w:rsidRDefault="00740C39" w:rsidP="00FF5FAD">
      <w:pPr>
        <w:pStyle w:val="EndNoteBibliography"/>
        <w:spacing w:after="0" w:line="480" w:lineRule="auto"/>
        <w:jc w:val="both"/>
      </w:pPr>
      <w:r w:rsidRPr="00A51A7C">
        <w:lastRenderedPageBreak/>
        <w:t>6.</w:t>
      </w:r>
      <w:r w:rsidRPr="00A51A7C">
        <w:tab/>
        <w:t xml:space="preserve">Hong, G.; Diao, S.; Antaris, A. L.; Dai, H. Carbon Nanomaterials for Biological Imaging and Nanomedicinal Therapy. </w:t>
      </w:r>
      <w:r w:rsidRPr="00A51A7C">
        <w:rPr>
          <w:i/>
        </w:rPr>
        <w:t xml:space="preserve">Chem. Rev. </w:t>
      </w:r>
      <w:r w:rsidRPr="00A51A7C">
        <w:rPr>
          <w:b/>
        </w:rPr>
        <w:t>2015</w:t>
      </w:r>
      <w:r w:rsidRPr="00A51A7C">
        <w:t xml:space="preserve">, </w:t>
      </w:r>
      <w:r w:rsidRPr="00A51A7C">
        <w:rPr>
          <w:i/>
        </w:rPr>
        <w:t>115</w:t>
      </w:r>
      <w:r w:rsidRPr="00A51A7C">
        <w:t>, 10816-10906.</w:t>
      </w:r>
    </w:p>
    <w:p w:rsidR="00740C39" w:rsidRPr="00A51A7C" w:rsidRDefault="00740C39" w:rsidP="00FF5FAD">
      <w:pPr>
        <w:pStyle w:val="EndNoteBibliography"/>
        <w:spacing w:after="0" w:line="480" w:lineRule="auto"/>
        <w:jc w:val="both"/>
      </w:pPr>
      <w:r w:rsidRPr="00A51A7C">
        <w:t>7.</w:t>
      </w:r>
      <w:r w:rsidRPr="00A51A7C">
        <w:tab/>
        <w:t xml:space="preserve">Serpell, C. J.; Kostarelos, K.; Davis, B. G. Can Carbon Nanotubes Deliver on Their Promise in Biology? Harnessing Unique Properties for Unparalleled Applications. </w:t>
      </w:r>
      <w:r w:rsidRPr="00A51A7C">
        <w:rPr>
          <w:i/>
        </w:rPr>
        <w:t xml:space="preserve">ACS Central Sci. </w:t>
      </w:r>
      <w:r w:rsidRPr="00A51A7C">
        <w:rPr>
          <w:b/>
        </w:rPr>
        <w:t>2016</w:t>
      </w:r>
      <w:r w:rsidRPr="00A51A7C">
        <w:t xml:space="preserve">, </w:t>
      </w:r>
      <w:r w:rsidRPr="00A51A7C">
        <w:rPr>
          <w:i/>
        </w:rPr>
        <w:t>2</w:t>
      </w:r>
      <w:r w:rsidRPr="00A51A7C">
        <w:t>, 190-200.</w:t>
      </w:r>
    </w:p>
    <w:p w:rsidR="00740C39" w:rsidRPr="00A51A7C" w:rsidRDefault="00740C39" w:rsidP="00FF5FAD">
      <w:pPr>
        <w:pStyle w:val="EndNoteBibliography"/>
        <w:spacing w:after="0" w:line="480" w:lineRule="auto"/>
        <w:jc w:val="both"/>
      </w:pPr>
      <w:r w:rsidRPr="00A51A7C">
        <w:t>8.</w:t>
      </w:r>
      <w:r w:rsidRPr="00A51A7C">
        <w:tab/>
        <w:t xml:space="preserve">Hernández-Rivera, M.; Zaibaq, N. G.; Wilson, L. J. Toward Carbon Nanotube-Based Imaging Agents for the Clinic. </w:t>
      </w:r>
      <w:r w:rsidRPr="00A51A7C">
        <w:rPr>
          <w:i/>
        </w:rPr>
        <w:t xml:space="preserve">Biomaterials </w:t>
      </w:r>
      <w:r w:rsidRPr="00A51A7C">
        <w:rPr>
          <w:b/>
        </w:rPr>
        <w:t>2016</w:t>
      </w:r>
      <w:r w:rsidRPr="00A51A7C">
        <w:t xml:space="preserve">, </w:t>
      </w:r>
      <w:r w:rsidRPr="00A51A7C">
        <w:rPr>
          <w:i/>
        </w:rPr>
        <w:t>101</w:t>
      </w:r>
      <w:r w:rsidRPr="00A51A7C">
        <w:t>, 229-240.</w:t>
      </w:r>
    </w:p>
    <w:p w:rsidR="00740C39" w:rsidRPr="00A51A7C" w:rsidRDefault="00740C39" w:rsidP="00FF5FAD">
      <w:pPr>
        <w:pStyle w:val="EndNoteBibliography"/>
        <w:spacing w:after="0" w:line="480" w:lineRule="auto"/>
        <w:jc w:val="both"/>
      </w:pPr>
      <w:r w:rsidRPr="00A51A7C">
        <w:t>9.</w:t>
      </w:r>
      <w:r w:rsidRPr="00A51A7C">
        <w:tab/>
        <w:t xml:space="preserve">Loh, K. P.; Ho, D.; Chiu, G. N. C.; Leong, D. T.; Pastorin, G.; Chow, E. K.-H. Clinical Applications of Carbon Nanomaterials in Diagnostics and Therapy. </w:t>
      </w:r>
      <w:r w:rsidRPr="00A51A7C">
        <w:rPr>
          <w:i/>
        </w:rPr>
        <w:t xml:space="preserve">Adv. Mater. </w:t>
      </w:r>
      <w:r w:rsidRPr="00A51A7C">
        <w:rPr>
          <w:b/>
        </w:rPr>
        <w:t>2018</w:t>
      </w:r>
      <w:r w:rsidRPr="00A51A7C">
        <w:t xml:space="preserve">, </w:t>
      </w:r>
      <w:r w:rsidRPr="00A51A7C">
        <w:rPr>
          <w:i/>
        </w:rPr>
        <w:t>30</w:t>
      </w:r>
      <w:r w:rsidRPr="00A51A7C">
        <w:t>, 1802368.</w:t>
      </w:r>
    </w:p>
    <w:p w:rsidR="00740C39" w:rsidRPr="00A51A7C" w:rsidRDefault="00740C39" w:rsidP="00FF5FAD">
      <w:pPr>
        <w:pStyle w:val="EndNoteBibliography"/>
        <w:spacing w:after="0" w:line="480" w:lineRule="auto"/>
        <w:jc w:val="both"/>
      </w:pPr>
      <w:r w:rsidRPr="00A51A7C">
        <w:t>10.</w:t>
      </w:r>
      <w:r w:rsidRPr="00A51A7C">
        <w:tab/>
        <w:t>Calatayud, D. G.; Ge, H.; Kuganathan, N.; Mirabello, V.; Jacobs, R. M. J.; Rees, N. H.; Stoppiello, C. T.; Khlobystov, A. N.; Tyrrell, R. M.; Como, E. D.; Pascu, S. I. Encapsulation of Cadmium Selenide Nanocrystals in Biocompatible Nanotubes: D</w:t>
      </w:r>
      <w:r w:rsidR="00BB4403" w:rsidRPr="00A51A7C">
        <w:t>FT</w:t>
      </w:r>
      <w:r w:rsidRPr="00A51A7C">
        <w:t xml:space="preserve"> Calculations, X-Ray Diffraction Investigations, and Confocal Fluorescence Imaging. </w:t>
      </w:r>
      <w:r w:rsidRPr="00A51A7C">
        <w:rPr>
          <w:i/>
        </w:rPr>
        <w:t xml:space="preserve">ChemistryOpen </w:t>
      </w:r>
      <w:r w:rsidRPr="00A51A7C">
        <w:rPr>
          <w:b/>
        </w:rPr>
        <w:t>2018</w:t>
      </w:r>
      <w:r w:rsidRPr="00A51A7C">
        <w:t xml:space="preserve">, </w:t>
      </w:r>
      <w:r w:rsidRPr="00A51A7C">
        <w:rPr>
          <w:i/>
        </w:rPr>
        <w:t>7</w:t>
      </w:r>
      <w:r w:rsidRPr="00A51A7C">
        <w:t>, 144-158.</w:t>
      </w:r>
    </w:p>
    <w:p w:rsidR="00740C39" w:rsidRPr="00A51A7C" w:rsidRDefault="00740C39" w:rsidP="00FF5FAD">
      <w:pPr>
        <w:pStyle w:val="EndNoteBibliography"/>
        <w:spacing w:after="0" w:line="480" w:lineRule="auto"/>
        <w:jc w:val="both"/>
      </w:pPr>
      <w:r w:rsidRPr="00A51A7C">
        <w:t>11.</w:t>
      </w:r>
      <w:r w:rsidRPr="00A51A7C">
        <w:tab/>
        <w:t xml:space="preserve">Al-Jamal, K. T.; Nerl, H.; Muller, K. H.; Ali-Boucetta, H.; Li, S. P.; Haynes, P. D.; Jinschek, J. R.; Prato, M.; Bianco, A.; Kostarelos, K.; Porter, A. E. Cellular Uptake Mechanisms of Functionalised Multi-Walled Carbon Nanotubes by 3d Electron Tomography Imaging. </w:t>
      </w:r>
      <w:r w:rsidRPr="00A51A7C">
        <w:rPr>
          <w:i/>
        </w:rPr>
        <w:t xml:space="preserve">Nanoscale </w:t>
      </w:r>
      <w:r w:rsidRPr="00A51A7C">
        <w:rPr>
          <w:b/>
        </w:rPr>
        <w:t>2011</w:t>
      </w:r>
      <w:r w:rsidRPr="00A51A7C">
        <w:t xml:space="preserve">, </w:t>
      </w:r>
      <w:r w:rsidRPr="00A51A7C">
        <w:rPr>
          <w:i/>
        </w:rPr>
        <w:t>3</w:t>
      </w:r>
      <w:r w:rsidRPr="00A51A7C">
        <w:t>, 2627-2635.</w:t>
      </w:r>
    </w:p>
    <w:p w:rsidR="00740C39" w:rsidRPr="00A51A7C" w:rsidRDefault="00740C39" w:rsidP="00FF5FAD">
      <w:pPr>
        <w:pStyle w:val="EndNoteBibliography"/>
        <w:spacing w:after="0" w:line="480" w:lineRule="auto"/>
        <w:jc w:val="both"/>
      </w:pPr>
      <w:r w:rsidRPr="00A51A7C">
        <w:t>12.</w:t>
      </w:r>
      <w:r w:rsidRPr="00A51A7C">
        <w:tab/>
        <w:t xml:space="preserve">Kafa, H.; Wang, J. T.-W.; Rubio, N.; Venner, K.; Anderson, G.; Pach, E.; Ballesteros, B.; Preston, J. E.; Abbott, N. J.; Al-Jamal, K. T. The Interaction of Carbon Nanotubes with an </w:t>
      </w:r>
      <w:r w:rsidR="00754B9E" w:rsidRPr="00A51A7C">
        <w:rPr>
          <w:i/>
        </w:rPr>
        <w:t>In V</w:t>
      </w:r>
      <w:r w:rsidRPr="00A51A7C">
        <w:rPr>
          <w:i/>
        </w:rPr>
        <w:t>itro</w:t>
      </w:r>
      <w:r w:rsidRPr="00A51A7C">
        <w:t xml:space="preserve"> Blood-Brain Barrier Model and Mouse Brain </w:t>
      </w:r>
      <w:r w:rsidR="00754B9E" w:rsidRPr="00A51A7C">
        <w:rPr>
          <w:i/>
        </w:rPr>
        <w:t>In V</w:t>
      </w:r>
      <w:r w:rsidRPr="00A51A7C">
        <w:rPr>
          <w:i/>
        </w:rPr>
        <w:t>ivo</w:t>
      </w:r>
      <w:r w:rsidRPr="00A51A7C">
        <w:t xml:space="preserve">. </w:t>
      </w:r>
      <w:r w:rsidRPr="00A51A7C">
        <w:rPr>
          <w:i/>
        </w:rPr>
        <w:t xml:space="preserve">Biomaterials </w:t>
      </w:r>
      <w:r w:rsidRPr="00A51A7C">
        <w:rPr>
          <w:b/>
        </w:rPr>
        <w:t>2015</w:t>
      </w:r>
      <w:r w:rsidRPr="00A51A7C">
        <w:t xml:space="preserve">, </w:t>
      </w:r>
      <w:r w:rsidRPr="00A51A7C">
        <w:rPr>
          <w:i/>
        </w:rPr>
        <w:t>53</w:t>
      </w:r>
      <w:r w:rsidRPr="00A51A7C">
        <w:t>, 437-452.</w:t>
      </w:r>
    </w:p>
    <w:p w:rsidR="00740C39" w:rsidRPr="00A51A7C" w:rsidRDefault="00740C39" w:rsidP="00FF5FAD">
      <w:pPr>
        <w:pStyle w:val="EndNoteBibliography"/>
        <w:spacing w:after="0" w:line="480" w:lineRule="auto"/>
        <w:jc w:val="both"/>
      </w:pPr>
      <w:r w:rsidRPr="00A51A7C">
        <w:lastRenderedPageBreak/>
        <w:t>13.</w:t>
      </w:r>
      <w:r w:rsidRPr="00A51A7C">
        <w:tab/>
        <w:t xml:space="preserve">Pantarotto, D.; Singh, R.; McCarthy, D.; Erhardt, M.; Briand, J. P.; Prato, M.; Kostarelos, K.; Bianco, A. Functionalized Carbon Nanotubes for Plasmid DNA Gene Delivery. </w:t>
      </w:r>
      <w:r w:rsidRPr="00A51A7C">
        <w:rPr>
          <w:i/>
        </w:rPr>
        <w:t xml:space="preserve">Angew. Chem. Int. Ed. </w:t>
      </w:r>
      <w:r w:rsidRPr="00A51A7C">
        <w:rPr>
          <w:b/>
        </w:rPr>
        <w:t>2004</w:t>
      </w:r>
      <w:r w:rsidRPr="00A51A7C">
        <w:t xml:space="preserve">, </w:t>
      </w:r>
      <w:r w:rsidRPr="00A51A7C">
        <w:rPr>
          <w:i/>
        </w:rPr>
        <w:t>43</w:t>
      </w:r>
      <w:r w:rsidRPr="00A51A7C">
        <w:t>, 5242-5246.</w:t>
      </w:r>
    </w:p>
    <w:p w:rsidR="00740C39" w:rsidRPr="00A51A7C" w:rsidRDefault="00740C39" w:rsidP="00FF5FAD">
      <w:pPr>
        <w:pStyle w:val="EndNoteBibliography"/>
        <w:spacing w:after="0" w:line="480" w:lineRule="auto"/>
        <w:jc w:val="both"/>
      </w:pPr>
      <w:r w:rsidRPr="00A51A7C">
        <w:t>14.</w:t>
      </w:r>
      <w:r w:rsidRPr="00A51A7C">
        <w:tab/>
        <w:t xml:space="preserve">Pantarotto, D.; Singh, R.; McCarthy, D.; Erhardt, M.; Briand, J.-P.; Prato, M.; Kostarelos, K.; Bianco, A. Functionalized Carbon Nanotubes for Plasmid DNA Gene Delivery. </w:t>
      </w:r>
      <w:r w:rsidRPr="00A51A7C">
        <w:rPr>
          <w:i/>
        </w:rPr>
        <w:t>Angew. Chem.</w:t>
      </w:r>
      <w:r w:rsidR="00BB4403" w:rsidRPr="00A51A7C">
        <w:rPr>
          <w:i/>
        </w:rPr>
        <w:t xml:space="preserve"> Int. Ed.</w:t>
      </w:r>
      <w:r w:rsidRPr="00A51A7C">
        <w:rPr>
          <w:i/>
        </w:rPr>
        <w:t xml:space="preserve"> </w:t>
      </w:r>
      <w:r w:rsidRPr="00A51A7C">
        <w:rPr>
          <w:b/>
        </w:rPr>
        <w:t>2004</w:t>
      </w:r>
      <w:r w:rsidRPr="00A51A7C">
        <w:t xml:space="preserve">, </w:t>
      </w:r>
      <w:r w:rsidRPr="00A51A7C">
        <w:rPr>
          <w:i/>
        </w:rPr>
        <w:t>116</w:t>
      </w:r>
      <w:r w:rsidRPr="00A51A7C">
        <w:t>, 5354-5358.</w:t>
      </w:r>
    </w:p>
    <w:p w:rsidR="00740C39" w:rsidRPr="00A51A7C" w:rsidRDefault="00740C39" w:rsidP="00FF5FAD">
      <w:pPr>
        <w:pStyle w:val="EndNoteBibliography"/>
        <w:spacing w:after="0" w:line="480" w:lineRule="auto"/>
        <w:jc w:val="both"/>
      </w:pPr>
      <w:r w:rsidRPr="00A51A7C">
        <w:t>15.</w:t>
      </w:r>
      <w:r w:rsidRPr="00A51A7C">
        <w:tab/>
        <w:t xml:space="preserve">Battigelli, A.; Ménard-Moyon, C.; Da Ros, T.; Prato, M.; Bianco, A. Endowing Carbon Nanotubes with Biological and Biomedical Properties by Chemical Modifications. </w:t>
      </w:r>
      <w:r w:rsidRPr="00A51A7C">
        <w:rPr>
          <w:i/>
        </w:rPr>
        <w:t xml:space="preserve">Adv. Drug Deliv. Rev. </w:t>
      </w:r>
      <w:r w:rsidRPr="00A51A7C">
        <w:rPr>
          <w:b/>
        </w:rPr>
        <w:t>2013</w:t>
      </w:r>
      <w:r w:rsidRPr="00A51A7C">
        <w:t xml:space="preserve">, </w:t>
      </w:r>
      <w:r w:rsidRPr="00A51A7C">
        <w:rPr>
          <w:i/>
        </w:rPr>
        <w:t>65</w:t>
      </w:r>
      <w:r w:rsidRPr="00A51A7C">
        <w:t>, 1899-1920.</w:t>
      </w:r>
    </w:p>
    <w:p w:rsidR="00740C39" w:rsidRPr="00A51A7C" w:rsidRDefault="00740C39" w:rsidP="00FF5FAD">
      <w:pPr>
        <w:pStyle w:val="EndNoteBibliography"/>
        <w:spacing w:after="0" w:line="480" w:lineRule="auto"/>
        <w:jc w:val="both"/>
      </w:pPr>
      <w:r w:rsidRPr="00A51A7C">
        <w:t>16.</w:t>
      </w:r>
      <w:r w:rsidRPr="00A51A7C">
        <w:tab/>
        <w:t xml:space="preserve">Dinesh, B.; Bianco, A.; Ménard-Moyon, C. Designing Multimodal Carbon Nanotubes by Covalent Multi-Functionalization. </w:t>
      </w:r>
      <w:r w:rsidRPr="00A51A7C">
        <w:rPr>
          <w:i/>
        </w:rPr>
        <w:t xml:space="preserve">Nanoscale </w:t>
      </w:r>
      <w:r w:rsidRPr="00A51A7C">
        <w:rPr>
          <w:b/>
        </w:rPr>
        <w:t>2016</w:t>
      </w:r>
      <w:r w:rsidRPr="00A51A7C">
        <w:t xml:space="preserve">, </w:t>
      </w:r>
      <w:r w:rsidRPr="00A51A7C">
        <w:rPr>
          <w:i/>
        </w:rPr>
        <w:t>8</w:t>
      </w:r>
      <w:r w:rsidRPr="00A51A7C">
        <w:t>, 18596-18611.</w:t>
      </w:r>
    </w:p>
    <w:p w:rsidR="00740C39" w:rsidRPr="00A51A7C" w:rsidRDefault="00740C39" w:rsidP="00FF5FAD">
      <w:pPr>
        <w:pStyle w:val="EndNoteBibliography"/>
        <w:spacing w:after="0" w:line="480" w:lineRule="auto"/>
        <w:jc w:val="both"/>
      </w:pPr>
      <w:r w:rsidRPr="00A51A7C">
        <w:t>17.</w:t>
      </w:r>
      <w:r w:rsidRPr="00A51A7C">
        <w:tab/>
        <w:t xml:space="preserve">Marega, R.; Bonifazi, D. Filling Carbon Nanotubes for Nanobiotechnological Applications. </w:t>
      </w:r>
      <w:r w:rsidRPr="00A51A7C">
        <w:rPr>
          <w:i/>
        </w:rPr>
        <w:t xml:space="preserve">New J. Chem. </w:t>
      </w:r>
      <w:r w:rsidRPr="00A51A7C">
        <w:rPr>
          <w:b/>
        </w:rPr>
        <w:t>2014</w:t>
      </w:r>
      <w:r w:rsidRPr="00A51A7C">
        <w:t xml:space="preserve">, </w:t>
      </w:r>
      <w:r w:rsidRPr="00A51A7C">
        <w:rPr>
          <w:i/>
        </w:rPr>
        <w:t>38</w:t>
      </w:r>
      <w:r w:rsidRPr="00A51A7C">
        <w:t>, 22-27.</w:t>
      </w:r>
    </w:p>
    <w:p w:rsidR="00740C39" w:rsidRPr="00A51A7C" w:rsidRDefault="00740C39" w:rsidP="00FF5FAD">
      <w:pPr>
        <w:pStyle w:val="EndNoteBibliography"/>
        <w:spacing w:after="0" w:line="480" w:lineRule="auto"/>
        <w:jc w:val="both"/>
      </w:pPr>
      <w:r w:rsidRPr="00A51A7C">
        <w:t>18.</w:t>
      </w:r>
      <w:r w:rsidRPr="00A51A7C">
        <w:tab/>
        <w:t xml:space="preserve">Heister, E.; Brunner, E. W.; Dieckmann, G. R.; Jurewicz, I.; Dalton, A. B. Are Carbon Nanotubes a Natural Solution? Applications in Biology and Medicine. </w:t>
      </w:r>
      <w:r w:rsidRPr="00A51A7C">
        <w:rPr>
          <w:i/>
        </w:rPr>
        <w:t xml:space="preserve">ACS Appl. Mater. Interfaces </w:t>
      </w:r>
      <w:r w:rsidRPr="00A51A7C">
        <w:rPr>
          <w:b/>
        </w:rPr>
        <w:t>2013</w:t>
      </w:r>
      <w:r w:rsidRPr="00A51A7C">
        <w:t xml:space="preserve">, </w:t>
      </w:r>
      <w:r w:rsidRPr="00A51A7C">
        <w:rPr>
          <w:i/>
        </w:rPr>
        <w:t>5</w:t>
      </w:r>
      <w:r w:rsidRPr="00A51A7C">
        <w:t>, 1870-1891.</w:t>
      </w:r>
    </w:p>
    <w:p w:rsidR="00740C39" w:rsidRPr="00A51A7C" w:rsidRDefault="00740C39" w:rsidP="00FF5FAD">
      <w:pPr>
        <w:pStyle w:val="EndNoteBibliography"/>
        <w:spacing w:after="0" w:line="480" w:lineRule="auto"/>
        <w:jc w:val="both"/>
      </w:pPr>
      <w:r w:rsidRPr="00A51A7C">
        <w:t>19.</w:t>
      </w:r>
      <w:r w:rsidRPr="00A51A7C">
        <w:tab/>
        <w:t xml:space="preserve">Kotchey, G. P.; Hasan, S. A.; Kapralov, A. A.; Ha, S. H.; Kim, K.; Shvedova, A. A.; Kagan, V. E.; Star, A. A Natural Vanishing Act: The Enzyme-Catalyzed Degradation of Carbon Nanomaterials. </w:t>
      </w:r>
      <w:r w:rsidRPr="00A51A7C">
        <w:rPr>
          <w:i/>
        </w:rPr>
        <w:t xml:space="preserve">Acc. Chem. Res. </w:t>
      </w:r>
      <w:r w:rsidRPr="00A51A7C">
        <w:rPr>
          <w:b/>
        </w:rPr>
        <w:t>2012</w:t>
      </w:r>
      <w:r w:rsidRPr="00A51A7C">
        <w:t xml:space="preserve">, </w:t>
      </w:r>
      <w:r w:rsidRPr="00A51A7C">
        <w:rPr>
          <w:i/>
        </w:rPr>
        <w:t>45</w:t>
      </w:r>
      <w:r w:rsidRPr="00A51A7C">
        <w:t>, 1770-1781.</w:t>
      </w:r>
    </w:p>
    <w:p w:rsidR="00740C39" w:rsidRPr="00A51A7C" w:rsidRDefault="00740C39" w:rsidP="00FF5FAD">
      <w:pPr>
        <w:pStyle w:val="EndNoteBibliography"/>
        <w:spacing w:after="0" w:line="480" w:lineRule="auto"/>
        <w:jc w:val="both"/>
      </w:pPr>
      <w:r w:rsidRPr="00A51A7C">
        <w:t>20.</w:t>
      </w:r>
      <w:r w:rsidRPr="00A51A7C">
        <w:tab/>
        <w:t xml:space="preserve">Ueda, M.; Seo, S.; Nair, B. G.; Müller, S.; Takahashi, E.; Arai, T.; Iyoda, T.; Fujii, S.-i.; Tsuneda, S.; Ito, Y. End-Sealed High Aspect Ratio Hollow Nanotubes Encapsulating an Anticancer Drug: Torpedo-Shaped Peptidic Nanocapsules. </w:t>
      </w:r>
      <w:r w:rsidRPr="00A51A7C">
        <w:rPr>
          <w:i/>
        </w:rPr>
        <w:t xml:space="preserve">ACS Nano </w:t>
      </w:r>
      <w:r w:rsidRPr="00A51A7C">
        <w:rPr>
          <w:b/>
        </w:rPr>
        <w:t>2019</w:t>
      </w:r>
      <w:r w:rsidRPr="00A51A7C">
        <w:t xml:space="preserve">, </w:t>
      </w:r>
      <w:r w:rsidRPr="00A51A7C">
        <w:rPr>
          <w:i/>
        </w:rPr>
        <w:t>13</w:t>
      </w:r>
      <w:r w:rsidRPr="00A51A7C">
        <w:t>, 305-312.</w:t>
      </w:r>
    </w:p>
    <w:p w:rsidR="00740C39" w:rsidRPr="00A51A7C" w:rsidRDefault="00740C39" w:rsidP="00FF5FAD">
      <w:pPr>
        <w:pStyle w:val="EndNoteBibliography"/>
        <w:spacing w:after="0" w:line="480" w:lineRule="auto"/>
        <w:jc w:val="both"/>
      </w:pPr>
      <w:r w:rsidRPr="00A51A7C">
        <w:lastRenderedPageBreak/>
        <w:t>21.</w:t>
      </w:r>
      <w:r w:rsidRPr="00A51A7C">
        <w:tab/>
        <w:t xml:space="preserve">Chen, X.; Zhang, Q.; Li, J.; Yang, M.; Zhao, N.; Xu, F.-J. Rattle-Structured Rough Nanocapsules with </w:t>
      </w:r>
      <w:r w:rsidR="00DC4522" w:rsidRPr="00A51A7C">
        <w:rPr>
          <w:i/>
        </w:rPr>
        <w:t>I</w:t>
      </w:r>
      <w:r w:rsidRPr="00A51A7C">
        <w:rPr>
          <w:i/>
        </w:rPr>
        <w:t>n-Situ</w:t>
      </w:r>
      <w:r w:rsidRPr="00A51A7C">
        <w:t xml:space="preserve">-Formed Gold Nanorod Cores for Complementary Gene/Chemo/Photothermal Therapy. </w:t>
      </w:r>
      <w:r w:rsidRPr="00A51A7C">
        <w:rPr>
          <w:i/>
        </w:rPr>
        <w:t xml:space="preserve">ACS Nano </w:t>
      </w:r>
      <w:r w:rsidRPr="00A51A7C">
        <w:rPr>
          <w:b/>
        </w:rPr>
        <w:t>2018</w:t>
      </w:r>
      <w:r w:rsidRPr="00A51A7C">
        <w:t xml:space="preserve">, </w:t>
      </w:r>
      <w:r w:rsidRPr="00A51A7C">
        <w:rPr>
          <w:i/>
        </w:rPr>
        <w:t>12</w:t>
      </w:r>
      <w:r w:rsidRPr="00A51A7C">
        <w:t>, 5646-5656.</w:t>
      </w:r>
    </w:p>
    <w:p w:rsidR="00740C39" w:rsidRPr="00A51A7C" w:rsidRDefault="00740C39" w:rsidP="00FF5FAD">
      <w:pPr>
        <w:pStyle w:val="EndNoteBibliography"/>
        <w:spacing w:after="0" w:line="480" w:lineRule="auto"/>
        <w:jc w:val="both"/>
      </w:pPr>
      <w:r w:rsidRPr="00A51A7C">
        <w:t>22.</w:t>
      </w:r>
      <w:r w:rsidRPr="00A51A7C">
        <w:tab/>
        <w:t xml:space="preserve">Ijäs, H.; Hakaste, I.; Shen, B.; Kostiainen, M. A.; Linko, V. Reconfigurable DNA Origami Nanocapsule for Ph-Controlled Encapsulation and Display of Cargo. </w:t>
      </w:r>
      <w:r w:rsidRPr="00A51A7C">
        <w:rPr>
          <w:i/>
        </w:rPr>
        <w:t xml:space="preserve">ACS Nano </w:t>
      </w:r>
      <w:r w:rsidRPr="00A51A7C">
        <w:rPr>
          <w:b/>
        </w:rPr>
        <w:t>2019</w:t>
      </w:r>
      <w:r w:rsidRPr="00A51A7C">
        <w:t xml:space="preserve">, </w:t>
      </w:r>
      <w:r w:rsidRPr="00A51A7C">
        <w:rPr>
          <w:i/>
        </w:rPr>
        <w:t>13</w:t>
      </w:r>
      <w:r w:rsidRPr="00A51A7C">
        <w:t>, 5959-5967.</w:t>
      </w:r>
    </w:p>
    <w:p w:rsidR="00740C39" w:rsidRPr="00A51A7C" w:rsidRDefault="00740C39" w:rsidP="00FF5FAD">
      <w:pPr>
        <w:pStyle w:val="EndNoteBibliography"/>
        <w:spacing w:after="0" w:line="480" w:lineRule="auto"/>
        <w:jc w:val="both"/>
      </w:pPr>
      <w:r w:rsidRPr="00A51A7C">
        <w:t>23.</w:t>
      </w:r>
      <w:r w:rsidRPr="00A51A7C">
        <w:tab/>
        <w:t>Wang, S.; Liu, X.; Chen, S.; Liu, Z.; Zhang, X.; Liang, X.-J.; Li, L. Regulation of Ca</w:t>
      </w:r>
      <w:r w:rsidRPr="00A51A7C">
        <w:rPr>
          <w:vertAlign w:val="superscript"/>
        </w:rPr>
        <w:t>2+</w:t>
      </w:r>
      <w:r w:rsidRPr="00A51A7C">
        <w:t xml:space="preserve"> Signaling for Drug-Resistant Breast Cancer Therapy with Mesoporous Silica Nanocapsule Encapsulated Doxorubicin/Sirna Cocktail. </w:t>
      </w:r>
      <w:r w:rsidRPr="00A51A7C">
        <w:rPr>
          <w:i/>
        </w:rPr>
        <w:t xml:space="preserve">ACS Nano </w:t>
      </w:r>
      <w:r w:rsidRPr="00A51A7C">
        <w:rPr>
          <w:b/>
        </w:rPr>
        <w:t>2019</w:t>
      </w:r>
      <w:r w:rsidRPr="00A51A7C">
        <w:t xml:space="preserve">, </w:t>
      </w:r>
      <w:r w:rsidRPr="00A51A7C">
        <w:rPr>
          <w:i/>
        </w:rPr>
        <w:t>13</w:t>
      </w:r>
      <w:r w:rsidRPr="00A51A7C">
        <w:t>, 274-283.</w:t>
      </w:r>
    </w:p>
    <w:p w:rsidR="00740C39" w:rsidRPr="00A51A7C" w:rsidRDefault="00740C39" w:rsidP="00FF5FAD">
      <w:pPr>
        <w:pStyle w:val="EndNoteBibliography"/>
        <w:spacing w:after="0" w:line="480" w:lineRule="auto"/>
        <w:jc w:val="both"/>
      </w:pPr>
      <w:r w:rsidRPr="00A51A7C">
        <w:t>24.</w:t>
      </w:r>
      <w:r w:rsidRPr="00A51A7C">
        <w:tab/>
        <w:t xml:space="preserve">González-Aramundiz, J. V.; Peleteiro, M.; González-Fernández, Á.; Alonso, M. J.; Csaba, N. S. Protamine Nanocapsules for the Development of Thermostable Adjuvanted Nanovaccines. </w:t>
      </w:r>
      <w:r w:rsidRPr="00A51A7C">
        <w:rPr>
          <w:i/>
        </w:rPr>
        <w:t xml:space="preserve">Mol. Pharm. </w:t>
      </w:r>
      <w:r w:rsidRPr="00A51A7C">
        <w:rPr>
          <w:b/>
        </w:rPr>
        <w:t>2018</w:t>
      </w:r>
      <w:r w:rsidRPr="00A51A7C">
        <w:t xml:space="preserve">, </w:t>
      </w:r>
      <w:r w:rsidRPr="00A51A7C">
        <w:rPr>
          <w:i/>
        </w:rPr>
        <w:t>15</w:t>
      </w:r>
      <w:r w:rsidRPr="00A51A7C">
        <w:t>, 5653-5664.</w:t>
      </w:r>
    </w:p>
    <w:p w:rsidR="00740C39" w:rsidRPr="00A51A7C" w:rsidRDefault="00740C39" w:rsidP="00FF5FAD">
      <w:pPr>
        <w:pStyle w:val="EndNoteBibliography"/>
        <w:spacing w:after="0" w:line="480" w:lineRule="auto"/>
        <w:jc w:val="both"/>
      </w:pPr>
      <w:r w:rsidRPr="00A51A7C">
        <w:t>25.</w:t>
      </w:r>
      <w:r w:rsidRPr="00A51A7C">
        <w:tab/>
        <w:t xml:space="preserve">Hong, S. Y.; Tobias, G.; Al-Jamal, K. T.; Ballesteros, B.; Ali-Boucetta, H.; Lozano-Perez, S.; Nellist, P. D.; Sim, R. B.; Finucane, C.; Mather, S. J.; Green, M. L. H.; Kostarelos, K.; Davis, B. G. Filled and Glycosylated Carbon Nanotubes for </w:t>
      </w:r>
      <w:r w:rsidR="004B33A7" w:rsidRPr="00A51A7C">
        <w:rPr>
          <w:i/>
        </w:rPr>
        <w:t>I</w:t>
      </w:r>
      <w:r w:rsidRPr="00A51A7C">
        <w:rPr>
          <w:i/>
        </w:rPr>
        <w:t xml:space="preserve">n </w:t>
      </w:r>
      <w:r w:rsidR="004B33A7" w:rsidRPr="00A51A7C">
        <w:rPr>
          <w:i/>
        </w:rPr>
        <w:t>V</w:t>
      </w:r>
      <w:r w:rsidRPr="00A51A7C">
        <w:rPr>
          <w:i/>
        </w:rPr>
        <w:t>iv</w:t>
      </w:r>
      <w:r w:rsidRPr="00A51A7C">
        <w:t xml:space="preserve">o Radioemitter Localization and Imaging. </w:t>
      </w:r>
      <w:r w:rsidRPr="00A51A7C">
        <w:rPr>
          <w:i/>
        </w:rPr>
        <w:t xml:space="preserve">Nat. Mater. </w:t>
      </w:r>
      <w:r w:rsidRPr="00A51A7C">
        <w:rPr>
          <w:b/>
        </w:rPr>
        <w:t>2010</w:t>
      </w:r>
      <w:r w:rsidRPr="00A51A7C">
        <w:t xml:space="preserve">, </w:t>
      </w:r>
      <w:r w:rsidRPr="00A51A7C">
        <w:rPr>
          <w:i/>
        </w:rPr>
        <w:t>9</w:t>
      </w:r>
      <w:r w:rsidRPr="00A51A7C">
        <w:t>, 485-490.</w:t>
      </w:r>
    </w:p>
    <w:p w:rsidR="00740C39" w:rsidRPr="00A51A7C" w:rsidRDefault="00740C39" w:rsidP="00FF5FAD">
      <w:pPr>
        <w:pStyle w:val="EndNoteBibliography"/>
        <w:spacing w:after="0" w:line="480" w:lineRule="auto"/>
        <w:jc w:val="both"/>
      </w:pPr>
      <w:r w:rsidRPr="00A51A7C">
        <w:t>26.</w:t>
      </w:r>
      <w:r w:rsidRPr="00A51A7C">
        <w:tab/>
        <w:t xml:space="preserve">Strano, M. S. Nanoscale Radiosurgery. </w:t>
      </w:r>
      <w:r w:rsidRPr="00A51A7C">
        <w:rPr>
          <w:i/>
        </w:rPr>
        <w:t xml:space="preserve">Nat. Mater. </w:t>
      </w:r>
      <w:r w:rsidRPr="00A51A7C">
        <w:rPr>
          <w:b/>
        </w:rPr>
        <w:t>2010</w:t>
      </w:r>
      <w:r w:rsidRPr="00A51A7C">
        <w:t xml:space="preserve">, </w:t>
      </w:r>
      <w:r w:rsidRPr="00A51A7C">
        <w:rPr>
          <w:i/>
        </w:rPr>
        <w:t>9</w:t>
      </w:r>
      <w:r w:rsidRPr="00A51A7C">
        <w:t>, 467.</w:t>
      </w:r>
    </w:p>
    <w:p w:rsidR="00740C39" w:rsidRPr="00A51A7C" w:rsidRDefault="00740C39" w:rsidP="00FF5FAD">
      <w:pPr>
        <w:pStyle w:val="EndNoteBibliography"/>
        <w:spacing w:after="0" w:line="480" w:lineRule="auto"/>
        <w:jc w:val="both"/>
      </w:pPr>
      <w:r w:rsidRPr="00A51A7C">
        <w:t>27.</w:t>
      </w:r>
      <w:r w:rsidRPr="00A51A7C">
        <w:tab/>
        <w:t>Ge, H.; Riss, P. J.; Mirabello, V.; Calatayud, D. G.; Flower, S. E.; Arrowsmith, R. L.; Fryer, T. D.; Hong, Y.; Sawiak, S.; Jacobs, R. M. J.; Botchway, S. W.; Tyrrell, R. M.; James, T. D.; Fossey, J. S.; Dilworth, J. R.; Aigbirhio, F. I.; Pascu, S. I. Behavior of Supramolecular Assemblies of Radiometal-Filled and Fluorescent Carbon Nanocapsules</w:t>
      </w:r>
      <w:r w:rsidRPr="00A51A7C">
        <w:rPr>
          <w:i/>
        </w:rPr>
        <w:t xml:space="preserve"> </w:t>
      </w:r>
      <w:r w:rsidR="00754B9E" w:rsidRPr="00A51A7C">
        <w:rPr>
          <w:i/>
        </w:rPr>
        <w:t>I</w:t>
      </w:r>
      <w:r w:rsidRPr="00A51A7C">
        <w:rPr>
          <w:i/>
        </w:rPr>
        <w:t>n Vitro</w:t>
      </w:r>
      <w:r w:rsidRPr="00A51A7C">
        <w:t xml:space="preserve"> and</w:t>
      </w:r>
      <w:r w:rsidRPr="00A51A7C">
        <w:rPr>
          <w:i/>
        </w:rPr>
        <w:t xml:space="preserve"> </w:t>
      </w:r>
      <w:r w:rsidR="00754B9E" w:rsidRPr="00A51A7C">
        <w:rPr>
          <w:i/>
        </w:rPr>
        <w:t>I</w:t>
      </w:r>
      <w:r w:rsidRPr="00A51A7C">
        <w:rPr>
          <w:i/>
        </w:rPr>
        <w:t>n Vivo</w:t>
      </w:r>
      <w:r w:rsidRPr="00A51A7C">
        <w:t xml:space="preserve">. </w:t>
      </w:r>
      <w:r w:rsidRPr="00A51A7C">
        <w:rPr>
          <w:i/>
        </w:rPr>
        <w:t xml:space="preserve">Chem </w:t>
      </w:r>
      <w:r w:rsidRPr="00A51A7C">
        <w:rPr>
          <w:b/>
        </w:rPr>
        <w:t>2017</w:t>
      </w:r>
      <w:r w:rsidRPr="00A51A7C">
        <w:t xml:space="preserve">, </w:t>
      </w:r>
      <w:r w:rsidRPr="00A51A7C">
        <w:rPr>
          <w:i/>
        </w:rPr>
        <w:t>3</w:t>
      </w:r>
      <w:r w:rsidRPr="00A51A7C">
        <w:t>, 437-460.</w:t>
      </w:r>
    </w:p>
    <w:p w:rsidR="00740C39" w:rsidRPr="00A51A7C" w:rsidRDefault="00740C39" w:rsidP="00FF5FAD">
      <w:pPr>
        <w:pStyle w:val="EndNoteBibliography"/>
        <w:spacing w:after="0" w:line="480" w:lineRule="auto"/>
        <w:jc w:val="both"/>
      </w:pPr>
      <w:r w:rsidRPr="00A51A7C">
        <w:lastRenderedPageBreak/>
        <w:t>28.</w:t>
      </w:r>
      <w:r w:rsidRPr="00A51A7C">
        <w:tab/>
        <w:t xml:space="preserve">De Munari, S.; Sandoval, S.; Pach, E.; Ballesteros, B.; Tobias, G.; Anthony, D. C.; Davis, B. G. </w:t>
      </w:r>
      <w:r w:rsidRPr="00A51A7C">
        <w:rPr>
          <w:i/>
        </w:rPr>
        <w:t>In Vivo</w:t>
      </w:r>
      <w:r w:rsidRPr="00A51A7C">
        <w:t xml:space="preserve"> Behaviour of Glyco-Na</w:t>
      </w:r>
      <w:r w:rsidR="00BB4403" w:rsidRPr="00A51A7C">
        <w:t>I</w:t>
      </w:r>
      <w:r w:rsidRPr="00A51A7C">
        <w:t>@S</w:t>
      </w:r>
      <w:r w:rsidR="00BB4403" w:rsidRPr="00A51A7C">
        <w:t>WCNT</w:t>
      </w:r>
      <w:r w:rsidRPr="00A51A7C">
        <w:t xml:space="preserve"> ‘Nanobottles’. </w:t>
      </w:r>
      <w:r w:rsidRPr="00A51A7C">
        <w:rPr>
          <w:i/>
        </w:rPr>
        <w:t xml:space="preserve">Inorg. Chim. Acta </w:t>
      </w:r>
      <w:r w:rsidRPr="00A51A7C">
        <w:rPr>
          <w:b/>
        </w:rPr>
        <w:t>2019</w:t>
      </w:r>
      <w:r w:rsidRPr="00A51A7C">
        <w:t xml:space="preserve">, </w:t>
      </w:r>
      <w:r w:rsidRPr="00A51A7C">
        <w:rPr>
          <w:i/>
        </w:rPr>
        <w:t>495</w:t>
      </w:r>
      <w:r w:rsidRPr="00A51A7C">
        <w:t>, 118933.</w:t>
      </w:r>
    </w:p>
    <w:p w:rsidR="00740C39" w:rsidRPr="00A51A7C" w:rsidRDefault="00740C39" w:rsidP="00FF5FAD">
      <w:pPr>
        <w:pStyle w:val="EndNoteBibliography"/>
        <w:spacing w:after="0" w:line="480" w:lineRule="auto"/>
        <w:jc w:val="both"/>
      </w:pPr>
      <w:r w:rsidRPr="00A51A7C">
        <w:t>29.</w:t>
      </w:r>
      <w:r w:rsidRPr="00A51A7C">
        <w:tab/>
        <w:t xml:space="preserve">Shao, L.; Tobias, G.; Huh, Y.; Green, M. L. H. Reversible Filling of Single Walled Carbon Nanotubes Opened by Alkali Hydroxides. </w:t>
      </w:r>
      <w:r w:rsidRPr="00A51A7C">
        <w:rPr>
          <w:i/>
        </w:rPr>
        <w:t xml:space="preserve">Carbon </w:t>
      </w:r>
      <w:r w:rsidRPr="00A51A7C">
        <w:rPr>
          <w:b/>
        </w:rPr>
        <w:t>2006</w:t>
      </w:r>
      <w:r w:rsidRPr="00A51A7C">
        <w:t xml:space="preserve">, </w:t>
      </w:r>
      <w:r w:rsidRPr="00A51A7C">
        <w:rPr>
          <w:i/>
        </w:rPr>
        <w:t>44</w:t>
      </w:r>
      <w:r w:rsidRPr="00A51A7C">
        <w:t>, 2855-2858.</w:t>
      </w:r>
    </w:p>
    <w:p w:rsidR="00740C39" w:rsidRPr="00A51A7C" w:rsidRDefault="00740C39" w:rsidP="00FF5FAD">
      <w:pPr>
        <w:pStyle w:val="EndNoteBibliography"/>
        <w:spacing w:after="0" w:line="480" w:lineRule="auto"/>
        <w:jc w:val="both"/>
      </w:pPr>
      <w:r w:rsidRPr="00A51A7C">
        <w:t>30.</w:t>
      </w:r>
      <w:r w:rsidRPr="00A51A7C">
        <w:tab/>
        <w:t xml:space="preserve">Martincic, M.; Vranic, S.; Pach, E.; Ballesteros, B.; Kostarelos, K.; Tobias, G. Non-Cytotoxic Carbon Nanocapsules Synthesized </w:t>
      </w:r>
      <w:r w:rsidR="00491916" w:rsidRPr="00A51A7C">
        <w:rPr>
          <w:i/>
        </w:rPr>
        <w:t>v</w:t>
      </w:r>
      <w:r w:rsidRPr="00A51A7C">
        <w:rPr>
          <w:i/>
        </w:rPr>
        <w:t>ia</w:t>
      </w:r>
      <w:r w:rsidRPr="00A51A7C">
        <w:t xml:space="preserve"> One-Pot Filling and End-Closing of Multi-Walled Carbon Nanotubes. </w:t>
      </w:r>
      <w:r w:rsidRPr="00A51A7C">
        <w:rPr>
          <w:i/>
        </w:rPr>
        <w:t xml:space="preserve">Carbon </w:t>
      </w:r>
      <w:r w:rsidRPr="00A51A7C">
        <w:rPr>
          <w:b/>
        </w:rPr>
        <w:t>2019</w:t>
      </w:r>
      <w:r w:rsidRPr="00A51A7C">
        <w:t xml:space="preserve">, </w:t>
      </w:r>
      <w:r w:rsidRPr="00A51A7C">
        <w:rPr>
          <w:i/>
        </w:rPr>
        <w:t>141</w:t>
      </w:r>
      <w:r w:rsidRPr="00A51A7C">
        <w:t>, 782-793.</w:t>
      </w:r>
    </w:p>
    <w:p w:rsidR="00740C39" w:rsidRPr="00A51A7C" w:rsidRDefault="00740C39" w:rsidP="00FF5FAD">
      <w:pPr>
        <w:pStyle w:val="EndNoteBibliography"/>
        <w:spacing w:after="0" w:line="480" w:lineRule="auto"/>
        <w:jc w:val="both"/>
      </w:pPr>
      <w:r w:rsidRPr="00A51A7C">
        <w:t>31.</w:t>
      </w:r>
      <w:r w:rsidRPr="00A51A7C">
        <w:tab/>
        <w:t xml:space="preserve">Kierkowicz, M.; González-Domínguez, J. M.; Pach, E.; Sandoval, S.; Ballesteros, B.; Da Ros, T.; Tobias, G. Filling Single-Walled Carbon Nanotubes with Lutetium Chloride: A Sustainable Production of Nanocapsules Free of Nonencapsulated Material. </w:t>
      </w:r>
      <w:r w:rsidRPr="00A51A7C">
        <w:rPr>
          <w:i/>
        </w:rPr>
        <w:t xml:space="preserve">ACS Sustain. Chem. Eng. </w:t>
      </w:r>
      <w:r w:rsidRPr="00A51A7C">
        <w:rPr>
          <w:b/>
        </w:rPr>
        <w:t>2017</w:t>
      </w:r>
      <w:r w:rsidRPr="00A51A7C">
        <w:t xml:space="preserve">, </w:t>
      </w:r>
      <w:r w:rsidRPr="00A51A7C">
        <w:rPr>
          <w:i/>
        </w:rPr>
        <w:t>5</w:t>
      </w:r>
      <w:r w:rsidRPr="00A51A7C">
        <w:t>, 2501-2508.</w:t>
      </w:r>
    </w:p>
    <w:p w:rsidR="00740C39" w:rsidRPr="00A51A7C" w:rsidRDefault="00740C39" w:rsidP="00FF5FAD">
      <w:pPr>
        <w:pStyle w:val="EndNoteBibliography"/>
        <w:spacing w:after="0" w:line="480" w:lineRule="auto"/>
        <w:jc w:val="both"/>
      </w:pPr>
      <w:r w:rsidRPr="00A51A7C">
        <w:t>32.</w:t>
      </w:r>
      <w:r w:rsidRPr="00A51A7C">
        <w:tab/>
        <w:t xml:space="preserve">Serpell, C. J.; Rutte, R. N.; Geraki, K.; Pach, E.; Martincic, M.; Kierkowicz, M.; De Munari, S.; Wals, K.; Raj, R.; Ballesteros, B.; Tobias, G.; Anthony, D. C.; Davis, B. G. Carbon Nanotubes Allow Capture of Krypton, Barium and Lead for Multichannel Biological X-Ray Fluorescence Imaging. </w:t>
      </w:r>
      <w:r w:rsidRPr="00A51A7C">
        <w:rPr>
          <w:i/>
        </w:rPr>
        <w:t xml:space="preserve">Nat. Commun. </w:t>
      </w:r>
      <w:r w:rsidRPr="00A51A7C">
        <w:rPr>
          <w:b/>
        </w:rPr>
        <w:t>2016</w:t>
      </w:r>
      <w:r w:rsidRPr="00A51A7C">
        <w:t xml:space="preserve">, </w:t>
      </w:r>
      <w:r w:rsidRPr="00A51A7C">
        <w:rPr>
          <w:i/>
        </w:rPr>
        <w:t>7</w:t>
      </w:r>
      <w:r w:rsidRPr="00A51A7C">
        <w:t>, 13118.</w:t>
      </w:r>
    </w:p>
    <w:p w:rsidR="00740C39" w:rsidRPr="00A51A7C" w:rsidRDefault="00740C39" w:rsidP="00FF5FAD">
      <w:pPr>
        <w:pStyle w:val="EndNoteBibliography"/>
        <w:spacing w:after="0" w:line="480" w:lineRule="auto"/>
        <w:jc w:val="both"/>
      </w:pPr>
      <w:r w:rsidRPr="00A51A7C">
        <w:t>33.</w:t>
      </w:r>
      <w:r w:rsidRPr="00A51A7C">
        <w:tab/>
        <w:t xml:space="preserve">Song, G.; Cheng, L.; Chao, Y.; Yang, K.; Liu, Z. Emerging Nanotechnology and Advanced Materials for Cancer Radiation Therapy. </w:t>
      </w:r>
      <w:r w:rsidRPr="00A51A7C">
        <w:rPr>
          <w:i/>
        </w:rPr>
        <w:t xml:space="preserve">Adv. Mater. </w:t>
      </w:r>
      <w:r w:rsidRPr="00A51A7C">
        <w:rPr>
          <w:b/>
        </w:rPr>
        <w:t>2017</w:t>
      </w:r>
      <w:r w:rsidRPr="00A51A7C">
        <w:t xml:space="preserve">, </w:t>
      </w:r>
      <w:r w:rsidRPr="00A51A7C">
        <w:rPr>
          <w:i/>
        </w:rPr>
        <w:t>29</w:t>
      </w:r>
      <w:r w:rsidRPr="00A51A7C">
        <w:t>, 1700996.</w:t>
      </w:r>
    </w:p>
    <w:p w:rsidR="00740C39" w:rsidRPr="00A51A7C" w:rsidRDefault="00740C39" w:rsidP="00FF5FAD">
      <w:pPr>
        <w:pStyle w:val="EndNoteBibliography"/>
        <w:spacing w:after="0" w:line="480" w:lineRule="auto"/>
        <w:jc w:val="both"/>
      </w:pPr>
      <w:r w:rsidRPr="00A51A7C">
        <w:t>34.</w:t>
      </w:r>
      <w:r w:rsidRPr="00A51A7C">
        <w:tab/>
        <w:t xml:space="preserve">Goel, S.; England, C. G.; Chen, F.; Cai, W. Positron Emission Tomography and Nanotechnology: A Dynamic Duo for Cancer Theranostics. </w:t>
      </w:r>
      <w:r w:rsidRPr="00A51A7C">
        <w:rPr>
          <w:i/>
        </w:rPr>
        <w:t xml:space="preserve">Adv. Drug Deliv. Rev. </w:t>
      </w:r>
      <w:r w:rsidRPr="00A51A7C">
        <w:rPr>
          <w:b/>
        </w:rPr>
        <w:t>2017</w:t>
      </w:r>
      <w:r w:rsidRPr="00A51A7C">
        <w:t xml:space="preserve">, </w:t>
      </w:r>
      <w:r w:rsidRPr="00A51A7C">
        <w:rPr>
          <w:i/>
        </w:rPr>
        <w:t>113</w:t>
      </w:r>
      <w:r w:rsidRPr="00A51A7C">
        <w:t>, 157-176.</w:t>
      </w:r>
    </w:p>
    <w:p w:rsidR="00740C39" w:rsidRPr="00A51A7C" w:rsidRDefault="00740C39" w:rsidP="00FF5FAD">
      <w:pPr>
        <w:pStyle w:val="EndNoteBibliography"/>
        <w:spacing w:after="0" w:line="480" w:lineRule="auto"/>
        <w:jc w:val="both"/>
      </w:pPr>
      <w:r w:rsidRPr="00A51A7C">
        <w:t>35.</w:t>
      </w:r>
      <w:r w:rsidRPr="00A51A7C">
        <w:tab/>
        <w:t xml:space="preserve">Kunz-Schughart, L. A.; Dubrovska, A.; Peitzsch, C.; Ewe, A.; Aigner, A.; Schellenburg, S.; Muders, M. H.; Hampel, S.; Cirillo, G.; Iemma, F.; Tietze, R.; Alexiou, C.; Stephan, H.; </w:t>
      </w:r>
      <w:r w:rsidRPr="00A51A7C">
        <w:lastRenderedPageBreak/>
        <w:t xml:space="preserve">Zarschler, K.; Vittorio, O.; Kavallaris, M.; Parak, W. J.; Mädler, L.; Pokhrel, S. Nanoparticles for Radiooncology: Mission, Vision, Challenges. </w:t>
      </w:r>
      <w:r w:rsidRPr="00A51A7C">
        <w:rPr>
          <w:i/>
        </w:rPr>
        <w:t xml:space="preserve">Biomaterials </w:t>
      </w:r>
      <w:r w:rsidRPr="00A51A7C">
        <w:rPr>
          <w:b/>
        </w:rPr>
        <w:t>2017</w:t>
      </w:r>
      <w:r w:rsidRPr="00A51A7C">
        <w:t xml:space="preserve">, </w:t>
      </w:r>
      <w:r w:rsidRPr="00A51A7C">
        <w:rPr>
          <w:i/>
        </w:rPr>
        <w:t>120</w:t>
      </w:r>
      <w:r w:rsidRPr="00A51A7C">
        <w:t>, 155-184.</w:t>
      </w:r>
    </w:p>
    <w:p w:rsidR="00740C39" w:rsidRPr="00A51A7C" w:rsidRDefault="00740C39" w:rsidP="00FF5FAD">
      <w:pPr>
        <w:pStyle w:val="EndNoteBibliography"/>
        <w:spacing w:after="0" w:line="480" w:lineRule="auto"/>
        <w:jc w:val="both"/>
      </w:pPr>
      <w:r w:rsidRPr="00A51A7C">
        <w:t>36.</w:t>
      </w:r>
      <w:r w:rsidRPr="00A51A7C">
        <w:tab/>
        <w:t xml:space="preserve">Ehlerding, E. B.; Grodzinski, P.; Cai, W.; Liu, C. H. Big Potential from Small Agents: Nanoparticles for Imaging-Based Companion Diagnostics. </w:t>
      </w:r>
      <w:r w:rsidRPr="00A51A7C">
        <w:rPr>
          <w:i/>
        </w:rPr>
        <w:t xml:space="preserve">ACS Nano </w:t>
      </w:r>
      <w:r w:rsidRPr="00A51A7C">
        <w:rPr>
          <w:b/>
        </w:rPr>
        <w:t>2018</w:t>
      </w:r>
      <w:r w:rsidRPr="00A51A7C">
        <w:t xml:space="preserve">, </w:t>
      </w:r>
      <w:r w:rsidRPr="00A51A7C">
        <w:rPr>
          <w:i/>
        </w:rPr>
        <w:t>12</w:t>
      </w:r>
      <w:r w:rsidRPr="00A51A7C">
        <w:t>, 2106-2121.</w:t>
      </w:r>
    </w:p>
    <w:p w:rsidR="00740C39" w:rsidRPr="00A51A7C" w:rsidRDefault="00740C39" w:rsidP="00FF5FAD">
      <w:pPr>
        <w:pStyle w:val="EndNoteBibliography"/>
        <w:spacing w:after="0" w:line="480" w:lineRule="auto"/>
        <w:jc w:val="both"/>
      </w:pPr>
      <w:r w:rsidRPr="00A51A7C">
        <w:t>37.</w:t>
      </w:r>
      <w:r w:rsidRPr="00A51A7C">
        <w:tab/>
        <w:t xml:space="preserve">Singh, R.; Pantarotto, D.; Lacerda, L.; Pastorin, G.; Klumpp, C.; Prato, M.; Bianco, A.; Kostarelos, K. Tissue Biodistribution and Blood Clearance Rates of Intravenously Administered Carbon Nanotube Radiotracers. </w:t>
      </w:r>
      <w:r w:rsidRPr="00A51A7C">
        <w:rPr>
          <w:i/>
        </w:rPr>
        <w:t xml:space="preserve">Proc. Natl. Acad. Sci. U. S. A. </w:t>
      </w:r>
      <w:r w:rsidRPr="00A51A7C">
        <w:rPr>
          <w:b/>
        </w:rPr>
        <w:t>2006</w:t>
      </w:r>
      <w:r w:rsidRPr="00A51A7C">
        <w:t xml:space="preserve">, </w:t>
      </w:r>
      <w:r w:rsidRPr="00A51A7C">
        <w:rPr>
          <w:i/>
        </w:rPr>
        <w:t>103</w:t>
      </w:r>
      <w:r w:rsidRPr="00A51A7C">
        <w:t>, 3357-3362.</w:t>
      </w:r>
    </w:p>
    <w:p w:rsidR="00740C39" w:rsidRPr="00A51A7C" w:rsidRDefault="00740C39" w:rsidP="00FF5FAD">
      <w:pPr>
        <w:pStyle w:val="EndNoteBibliography"/>
        <w:spacing w:after="0" w:line="480" w:lineRule="auto"/>
        <w:jc w:val="both"/>
      </w:pPr>
      <w:r w:rsidRPr="00A51A7C">
        <w:t>38.</w:t>
      </w:r>
      <w:r w:rsidRPr="00A51A7C">
        <w:tab/>
        <w:t xml:space="preserve">McDevitt, M. R.; Chattopadhyay, D.; Jaggi, J. S.; Finn, R. D.; Zanzonico, P. B.; Villa, C.; Rey, D.; Mendenhall, J.; Batt, C. A.; Njardarson, J. T.; Scheinberg, D. A. Pet Imaging of Soluble Yttrium-86-Labeled Carbon Nanotubes in Mice. </w:t>
      </w:r>
      <w:r w:rsidRPr="00A51A7C">
        <w:rPr>
          <w:i/>
        </w:rPr>
        <w:t xml:space="preserve">PLoS ONE </w:t>
      </w:r>
      <w:r w:rsidRPr="00A51A7C">
        <w:rPr>
          <w:b/>
        </w:rPr>
        <w:t>2007</w:t>
      </w:r>
      <w:r w:rsidRPr="00A51A7C">
        <w:t xml:space="preserve">, </w:t>
      </w:r>
      <w:r w:rsidRPr="00A51A7C">
        <w:rPr>
          <w:i/>
        </w:rPr>
        <w:t>2</w:t>
      </w:r>
      <w:r w:rsidRPr="00A51A7C">
        <w:t>, e907.</w:t>
      </w:r>
    </w:p>
    <w:p w:rsidR="00740C39" w:rsidRPr="00A51A7C" w:rsidRDefault="00740C39" w:rsidP="00FF5FAD">
      <w:pPr>
        <w:pStyle w:val="EndNoteBibliography"/>
        <w:spacing w:after="0" w:line="480" w:lineRule="auto"/>
        <w:jc w:val="both"/>
      </w:pPr>
      <w:r w:rsidRPr="00A51A7C">
        <w:t>39.</w:t>
      </w:r>
      <w:r w:rsidRPr="00A51A7C">
        <w:tab/>
        <w:t xml:space="preserve">Ruggiero, A.; Villa, C. H.; Holland, J. P.; Sprinkle, S. R.; May, C.; Lewis, J. S.; Scheinberg, D. A.; McDevitt, M. R. Imaging and Treating Tumor Vasculature with Targeted Radiolabeled Carbon Nanotubes. </w:t>
      </w:r>
      <w:r w:rsidRPr="00A51A7C">
        <w:rPr>
          <w:i/>
        </w:rPr>
        <w:t xml:space="preserve">Int. J. Nanomed. </w:t>
      </w:r>
      <w:r w:rsidRPr="00A51A7C">
        <w:rPr>
          <w:b/>
        </w:rPr>
        <w:t>2010</w:t>
      </w:r>
      <w:r w:rsidRPr="00A51A7C">
        <w:t xml:space="preserve">, </w:t>
      </w:r>
      <w:r w:rsidRPr="00A51A7C">
        <w:rPr>
          <w:i/>
        </w:rPr>
        <w:t>5</w:t>
      </w:r>
      <w:r w:rsidRPr="00A51A7C">
        <w:t>, 783-802.</w:t>
      </w:r>
    </w:p>
    <w:p w:rsidR="00740C39" w:rsidRPr="00A51A7C" w:rsidRDefault="00740C39" w:rsidP="00FF5FAD">
      <w:pPr>
        <w:pStyle w:val="EndNoteBibliography"/>
        <w:spacing w:after="0" w:line="480" w:lineRule="auto"/>
        <w:jc w:val="both"/>
      </w:pPr>
      <w:r w:rsidRPr="00A51A7C">
        <w:t>40.</w:t>
      </w:r>
      <w:r w:rsidRPr="00A51A7C">
        <w:tab/>
        <w:t xml:space="preserve">Hartman, K. B.; Hamlin, D. K.; Wilbur, D. S.; Wilson, L. J. </w:t>
      </w:r>
      <w:r w:rsidRPr="00A51A7C">
        <w:rPr>
          <w:vertAlign w:val="superscript"/>
        </w:rPr>
        <w:t>211</w:t>
      </w:r>
      <w:r w:rsidR="00BB4403" w:rsidRPr="00A51A7C">
        <w:t>AtCl@US</w:t>
      </w:r>
      <w:r w:rsidRPr="00A51A7C">
        <w:t xml:space="preserve">-Tube Nanocapsules: A New Concept in Radiotherapeutic-Agent Design. </w:t>
      </w:r>
      <w:r w:rsidRPr="00A51A7C">
        <w:rPr>
          <w:i/>
        </w:rPr>
        <w:t xml:space="preserve">Small </w:t>
      </w:r>
      <w:r w:rsidRPr="00A51A7C">
        <w:rPr>
          <w:b/>
        </w:rPr>
        <w:t>2007</w:t>
      </w:r>
      <w:r w:rsidRPr="00A51A7C">
        <w:t xml:space="preserve">, </w:t>
      </w:r>
      <w:r w:rsidRPr="00A51A7C">
        <w:rPr>
          <w:i/>
        </w:rPr>
        <w:t>3</w:t>
      </w:r>
      <w:r w:rsidRPr="00A51A7C">
        <w:t>, 1496-1499.</w:t>
      </w:r>
    </w:p>
    <w:p w:rsidR="00740C39" w:rsidRPr="00A51A7C" w:rsidRDefault="00740C39" w:rsidP="00FF5FAD">
      <w:pPr>
        <w:pStyle w:val="EndNoteBibliography"/>
        <w:spacing w:after="0" w:line="480" w:lineRule="auto"/>
        <w:jc w:val="both"/>
      </w:pPr>
      <w:r w:rsidRPr="00A51A7C">
        <w:t>41.</w:t>
      </w:r>
      <w:r w:rsidRPr="00A51A7C">
        <w:tab/>
        <w:t xml:space="preserve">Cisneros, B. T.; Law, J. J.; Matson, M. L.; Azhdarinia, A.; Sevick-Muraca, E. M.; Wilson, L. J. Stable Confinement of Positron Emission Tomography and Magnetic Resonance Agents within Carbon Nanotubes for Bimodal Imaging. </w:t>
      </w:r>
      <w:r w:rsidRPr="00A51A7C">
        <w:rPr>
          <w:i/>
        </w:rPr>
        <w:t xml:space="preserve">Nanomedicine </w:t>
      </w:r>
      <w:r w:rsidRPr="00A51A7C">
        <w:rPr>
          <w:b/>
        </w:rPr>
        <w:t>2014</w:t>
      </w:r>
      <w:r w:rsidRPr="00A51A7C">
        <w:t xml:space="preserve">, </w:t>
      </w:r>
      <w:r w:rsidRPr="00A51A7C">
        <w:rPr>
          <w:i/>
        </w:rPr>
        <w:t>9</w:t>
      </w:r>
      <w:r w:rsidRPr="00A51A7C">
        <w:t>, 2499-2509.</w:t>
      </w:r>
    </w:p>
    <w:p w:rsidR="00740C39" w:rsidRPr="00A51A7C" w:rsidRDefault="00740C39" w:rsidP="00FF5FAD">
      <w:pPr>
        <w:pStyle w:val="EndNoteBibliography"/>
        <w:spacing w:after="0" w:line="480" w:lineRule="auto"/>
        <w:jc w:val="both"/>
      </w:pPr>
      <w:r w:rsidRPr="00A51A7C">
        <w:t>42.</w:t>
      </w:r>
      <w:r w:rsidRPr="00A51A7C">
        <w:tab/>
        <w:t xml:space="preserve">Matson, M. L.; Villa, C. H.; Ananta, J. S.; Law, J. J.; Scheinberg, D. A.; Wilson, L. J. Encapsulation of Alpha-Particle-Emitting </w:t>
      </w:r>
      <w:r w:rsidRPr="00A51A7C">
        <w:rPr>
          <w:vertAlign w:val="superscript"/>
        </w:rPr>
        <w:t>225</w:t>
      </w:r>
      <w:r w:rsidR="00A1146E" w:rsidRPr="00A51A7C">
        <w:t>A</w:t>
      </w:r>
      <w:r w:rsidRPr="00A51A7C">
        <w:t>c</w:t>
      </w:r>
      <w:r w:rsidRPr="00A51A7C">
        <w:rPr>
          <w:vertAlign w:val="superscript"/>
        </w:rPr>
        <w:t>3+</w:t>
      </w:r>
      <w:r w:rsidRPr="00A51A7C">
        <w:t xml:space="preserve"> Ions within Carbon Nanotubes. </w:t>
      </w:r>
      <w:r w:rsidRPr="00A51A7C">
        <w:rPr>
          <w:i/>
        </w:rPr>
        <w:t xml:space="preserve">J. Nucl. Med. </w:t>
      </w:r>
      <w:r w:rsidRPr="00A51A7C">
        <w:rPr>
          <w:b/>
        </w:rPr>
        <w:t>2015</w:t>
      </w:r>
      <w:r w:rsidRPr="00A51A7C">
        <w:t xml:space="preserve">, </w:t>
      </w:r>
      <w:r w:rsidRPr="00A51A7C">
        <w:rPr>
          <w:i/>
        </w:rPr>
        <w:t>56</w:t>
      </w:r>
      <w:r w:rsidRPr="00A51A7C">
        <w:t>, 897-900.</w:t>
      </w:r>
    </w:p>
    <w:p w:rsidR="00740C39" w:rsidRPr="00A51A7C" w:rsidRDefault="00740C39" w:rsidP="00FF5FAD">
      <w:pPr>
        <w:pStyle w:val="EndNoteBibliography"/>
        <w:spacing w:after="0" w:line="480" w:lineRule="auto"/>
        <w:jc w:val="both"/>
      </w:pPr>
      <w:r w:rsidRPr="00A51A7C">
        <w:t>43.</w:t>
      </w:r>
      <w:r w:rsidRPr="00A51A7C">
        <w:tab/>
        <w:t xml:space="preserve">Ren, Y.; Pastorin, G. Incorporation of Hexamethylmelamine inside Capped Carbon Nanotubes. </w:t>
      </w:r>
      <w:r w:rsidRPr="00A51A7C">
        <w:rPr>
          <w:i/>
        </w:rPr>
        <w:t xml:space="preserve">Adv. Mater. </w:t>
      </w:r>
      <w:r w:rsidRPr="00A51A7C">
        <w:rPr>
          <w:b/>
        </w:rPr>
        <w:t>2008</w:t>
      </w:r>
      <w:r w:rsidRPr="00A51A7C">
        <w:t xml:space="preserve">, </w:t>
      </w:r>
      <w:r w:rsidRPr="00A51A7C">
        <w:rPr>
          <w:i/>
        </w:rPr>
        <w:t>20</w:t>
      </w:r>
      <w:r w:rsidRPr="00A51A7C">
        <w:t>, 2031-2036.</w:t>
      </w:r>
    </w:p>
    <w:p w:rsidR="00740C39" w:rsidRPr="00A51A7C" w:rsidRDefault="00740C39" w:rsidP="00FF5FAD">
      <w:pPr>
        <w:pStyle w:val="EndNoteBibliography"/>
        <w:spacing w:after="0" w:line="480" w:lineRule="auto"/>
        <w:jc w:val="both"/>
      </w:pPr>
      <w:r w:rsidRPr="00A51A7C">
        <w:lastRenderedPageBreak/>
        <w:t>44.</w:t>
      </w:r>
      <w:r w:rsidRPr="00A51A7C">
        <w:tab/>
        <w:t>Shao, L.; Lin, T.-W.; Tobias, G.; Green, M. L. H. A Simple Method for the Containment and Purification of Filled Open-Ended Single Wall Carbon Nanotubes Using C</w:t>
      </w:r>
      <w:r w:rsidRPr="00A51A7C">
        <w:rPr>
          <w:vertAlign w:val="subscript"/>
        </w:rPr>
        <w:t>60</w:t>
      </w:r>
      <w:r w:rsidRPr="00A51A7C">
        <w:t xml:space="preserve"> Molecules. </w:t>
      </w:r>
      <w:r w:rsidRPr="00A51A7C">
        <w:rPr>
          <w:i/>
        </w:rPr>
        <w:t xml:space="preserve">Chem. Commun. </w:t>
      </w:r>
      <w:r w:rsidRPr="00A51A7C">
        <w:rPr>
          <w:b/>
        </w:rPr>
        <w:t>2008</w:t>
      </w:r>
      <w:r w:rsidRPr="00A51A7C">
        <w:t>, 2164-2166.</w:t>
      </w:r>
    </w:p>
    <w:p w:rsidR="00740C39" w:rsidRPr="00A51A7C" w:rsidRDefault="00740C39" w:rsidP="00FF5FAD">
      <w:pPr>
        <w:pStyle w:val="EndNoteBibliography"/>
        <w:spacing w:after="0" w:line="480" w:lineRule="auto"/>
        <w:jc w:val="both"/>
      </w:pPr>
      <w:r w:rsidRPr="00A51A7C">
        <w:t>45.</w:t>
      </w:r>
      <w:r w:rsidRPr="00A51A7C">
        <w:tab/>
        <w:t>Bayouth, J. E.; Macey, D. J.; Kasi, L. P.; Fossella, F. V. Dosimetry and Toxicity of Samarium-153-E</w:t>
      </w:r>
      <w:r w:rsidR="00A1146E" w:rsidRPr="00A51A7C">
        <w:t>DTMP</w:t>
      </w:r>
      <w:r w:rsidRPr="00A51A7C">
        <w:t xml:space="preserve"> Administered for Bone Pain Due to Skeletal Metastases. </w:t>
      </w:r>
      <w:r w:rsidRPr="00A51A7C">
        <w:rPr>
          <w:i/>
        </w:rPr>
        <w:t xml:space="preserve">J. Nucl. Med. </w:t>
      </w:r>
      <w:r w:rsidRPr="00A51A7C">
        <w:rPr>
          <w:b/>
        </w:rPr>
        <w:t>1994</w:t>
      </w:r>
      <w:r w:rsidRPr="00A51A7C">
        <w:t xml:space="preserve">, </w:t>
      </w:r>
      <w:r w:rsidRPr="00A51A7C">
        <w:rPr>
          <w:i/>
        </w:rPr>
        <w:t>35</w:t>
      </w:r>
      <w:r w:rsidRPr="00A51A7C">
        <w:t>, 63-9.</w:t>
      </w:r>
    </w:p>
    <w:p w:rsidR="00740C39" w:rsidRPr="00A51A7C" w:rsidRDefault="00740C39" w:rsidP="00FF5FAD">
      <w:pPr>
        <w:pStyle w:val="EndNoteBibliography"/>
        <w:spacing w:after="0" w:line="480" w:lineRule="auto"/>
        <w:jc w:val="both"/>
      </w:pPr>
      <w:r w:rsidRPr="00A51A7C">
        <w:t>46.</w:t>
      </w:r>
      <w:r w:rsidRPr="00A51A7C">
        <w:tab/>
        <w:t xml:space="preserve">Yeong, C.-H.; Abdullah, B. J. J.; Ng, K.-H.; Chung, L.-Y.; Goh, K.-L.; Sarji, S. A.; Perkins, A. C. Production and First Use of </w:t>
      </w:r>
      <w:r w:rsidRPr="00A51A7C">
        <w:rPr>
          <w:vertAlign w:val="superscript"/>
        </w:rPr>
        <w:t>153</w:t>
      </w:r>
      <w:r w:rsidR="008329C1" w:rsidRPr="00A51A7C">
        <w:t>SmC</w:t>
      </w:r>
      <w:r w:rsidRPr="00A51A7C">
        <w:t>l</w:t>
      </w:r>
      <w:r w:rsidRPr="00A51A7C">
        <w:rPr>
          <w:vertAlign w:val="subscript"/>
        </w:rPr>
        <w:t>3</w:t>
      </w:r>
      <w:r w:rsidRPr="00A51A7C">
        <w:t xml:space="preserve">-Ion Exchange Resin Capsule Formulation for Assessing Gastrointestinal Motility. </w:t>
      </w:r>
      <w:r w:rsidRPr="00A51A7C">
        <w:rPr>
          <w:i/>
        </w:rPr>
        <w:t xml:space="preserve">Appl. Radiat. Isot. </w:t>
      </w:r>
      <w:r w:rsidRPr="00A51A7C">
        <w:rPr>
          <w:b/>
        </w:rPr>
        <w:t>2012</w:t>
      </w:r>
      <w:r w:rsidRPr="00A51A7C">
        <w:t xml:space="preserve">, </w:t>
      </w:r>
      <w:r w:rsidRPr="00A51A7C">
        <w:rPr>
          <w:i/>
        </w:rPr>
        <w:t>70</w:t>
      </w:r>
      <w:r w:rsidRPr="00A51A7C">
        <w:t>, 450-455.</w:t>
      </w:r>
    </w:p>
    <w:p w:rsidR="00740C39" w:rsidRPr="00A51A7C" w:rsidRDefault="00740C39" w:rsidP="00FF5FAD">
      <w:pPr>
        <w:pStyle w:val="EndNoteBibliography"/>
        <w:spacing w:after="0" w:line="480" w:lineRule="auto"/>
        <w:jc w:val="both"/>
      </w:pPr>
      <w:r w:rsidRPr="00A51A7C">
        <w:t>47.</w:t>
      </w:r>
      <w:r w:rsidRPr="00A51A7C">
        <w:tab/>
        <w:t xml:space="preserve">Anderson, P. Samarium for Osteoblastic Bone Metastases and Osteosarcoma. </w:t>
      </w:r>
      <w:r w:rsidRPr="00A51A7C">
        <w:rPr>
          <w:i/>
        </w:rPr>
        <w:t xml:space="preserve">Expert Opin. Pharmacother. </w:t>
      </w:r>
      <w:r w:rsidRPr="00A51A7C">
        <w:rPr>
          <w:b/>
        </w:rPr>
        <w:t>2006</w:t>
      </w:r>
      <w:r w:rsidRPr="00A51A7C">
        <w:t xml:space="preserve">, </w:t>
      </w:r>
      <w:r w:rsidRPr="00A51A7C">
        <w:rPr>
          <w:i/>
        </w:rPr>
        <w:t>7</w:t>
      </w:r>
      <w:r w:rsidRPr="00A51A7C">
        <w:t>, 1475-86.</w:t>
      </w:r>
    </w:p>
    <w:p w:rsidR="00740C39" w:rsidRPr="00A51A7C" w:rsidRDefault="00740C39" w:rsidP="00FF5FAD">
      <w:pPr>
        <w:pStyle w:val="EndNoteBibliography"/>
        <w:spacing w:after="0" w:line="480" w:lineRule="auto"/>
        <w:jc w:val="both"/>
      </w:pPr>
      <w:r w:rsidRPr="00A51A7C">
        <w:t>48.</w:t>
      </w:r>
      <w:r w:rsidRPr="00A51A7C">
        <w:tab/>
        <w:t xml:space="preserve">Hashikin, N. A.; Yeong, C. H.; Abdullah, B. J.; Ng, K. H.; Chung, L. Y.; Dahalan, R.; Perkins, A. C. Neutron Activated Samarium-153 Microparticles for Transarterial Radioembolization of Liver Tumour with Post-Procedure Imaging Capabilities. </w:t>
      </w:r>
      <w:r w:rsidRPr="00A51A7C">
        <w:rPr>
          <w:i/>
        </w:rPr>
        <w:t xml:space="preserve">PLoS One </w:t>
      </w:r>
      <w:r w:rsidRPr="00A51A7C">
        <w:rPr>
          <w:b/>
        </w:rPr>
        <w:t>2015</w:t>
      </w:r>
      <w:r w:rsidRPr="00A51A7C">
        <w:t xml:space="preserve">, </w:t>
      </w:r>
      <w:r w:rsidRPr="00A51A7C">
        <w:rPr>
          <w:i/>
        </w:rPr>
        <w:t>10</w:t>
      </w:r>
      <w:r w:rsidRPr="00A51A7C">
        <w:t>, e0138106.</w:t>
      </w:r>
    </w:p>
    <w:p w:rsidR="00740C39" w:rsidRPr="00A51A7C" w:rsidRDefault="00740C39" w:rsidP="00FF5FAD">
      <w:pPr>
        <w:pStyle w:val="EndNoteBibliography"/>
        <w:spacing w:after="0" w:line="480" w:lineRule="auto"/>
        <w:jc w:val="both"/>
      </w:pPr>
      <w:r w:rsidRPr="00A51A7C">
        <w:t>49.</w:t>
      </w:r>
      <w:r w:rsidRPr="00A51A7C">
        <w:tab/>
      </w:r>
      <w:r w:rsidR="008329C1" w:rsidRPr="00A51A7C">
        <w:t xml:space="preserve">Hamoudeh, M.; </w:t>
      </w:r>
      <w:r w:rsidRPr="00A51A7C">
        <w:t>Fessi, H.; Salim, H.; Barbos, D. Holmium-Loaded P</w:t>
      </w:r>
      <w:r w:rsidR="008329C1" w:rsidRPr="00A51A7C">
        <w:t>LLA</w:t>
      </w:r>
      <w:r w:rsidRPr="00A51A7C">
        <w:t xml:space="preserve"> Nanoparticles for Intratumoral Radiotherapy </w:t>
      </w:r>
      <w:r w:rsidR="00491916" w:rsidRPr="00A51A7C">
        <w:rPr>
          <w:i/>
        </w:rPr>
        <w:t>v</w:t>
      </w:r>
      <w:r w:rsidRPr="00A51A7C">
        <w:rPr>
          <w:i/>
        </w:rPr>
        <w:t>ia</w:t>
      </w:r>
      <w:r w:rsidRPr="00A51A7C">
        <w:t xml:space="preserve"> the T</w:t>
      </w:r>
      <w:r w:rsidR="008329C1" w:rsidRPr="00A51A7C">
        <w:t>MT</w:t>
      </w:r>
      <w:r w:rsidRPr="00A51A7C">
        <w:t xml:space="preserve"> Technique: Preparation, Characterization, and Stability Evaluation after Neutron Irradiation</w:t>
      </w:r>
      <w:r w:rsidR="008329C1" w:rsidRPr="00A51A7C">
        <w:t>.</w:t>
      </w:r>
      <w:r w:rsidRPr="00A51A7C">
        <w:t xml:space="preserve"> </w:t>
      </w:r>
      <w:r w:rsidRPr="00A51A7C">
        <w:rPr>
          <w:i/>
        </w:rPr>
        <w:t xml:space="preserve">Drug Dev. Ind. Pharm. </w:t>
      </w:r>
      <w:r w:rsidRPr="00A51A7C">
        <w:rPr>
          <w:b/>
        </w:rPr>
        <w:t>2008</w:t>
      </w:r>
      <w:r w:rsidRPr="00A51A7C">
        <w:t xml:space="preserve">, </w:t>
      </w:r>
      <w:r w:rsidRPr="00A51A7C">
        <w:rPr>
          <w:i/>
        </w:rPr>
        <w:t>34</w:t>
      </w:r>
      <w:r w:rsidRPr="00A51A7C">
        <w:t>, 796-806.</w:t>
      </w:r>
    </w:p>
    <w:p w:rsidR="00740C39" w:rsidRPr="00A51A7C" w:rsidRDefault="00740C39" w:rsidP="00FF5FAD">
      <w:pPr>
        <w:pStyle w:val="EndNoteBibliography"/>
        <w:spacing w:after="0" w:line="480" w:lineRule="auto"/>
        <w:jc w:val="both"/>
      </w:pPr>
      <w:r w:rsidRPr="00A51A7C">
        <w:t>50.</w:t>
      </w:r>
      <w:r w:rsidRPr="00A51A7C">
        <w:tab/>
        <w:t xml:space="preserve">Bult, W.; Varkevisser, R.; Soulimani, F.; Seevinck, P. R.; de Leeuw, H.; Bakker, C. J. G.; Luijten, P. R.; van het Schip, A. D.; Hennink, W. E.; Nijsen, J. F. W. Holmium Nanoparticles: Preparation and </w:t>
      </w:r>
      <w:r w:rsidR="00754B9E" w:rsidRPr="00A51A7C">
        <w:rPr>
          <w:i/>
        </w:rPr>
        <w:t>I</w:t>
      </w:r>
      <w:r w:rsidRPr="00A51A7C">
        <w:rPr>
          <w:i/>
        </w:rPr>
        <w:t>n Vitro</w:t>
      </w:r>
      <w:r w:rsidRPr="00A51A7C">
        <w:t xml:space="preserve"> Characterization of a New Device for Radioablation of Solid Malignancies. </w:t>
      </w:r>
      <w:r w:rsidRPr="00A51A7C">
        <w:rPr>
          <w:i/>
        </w:rPr>
        <w:t xml:space="preserve">Pharm. Res. </w:t>
      </w:r>
      <w:r w:rsidRPr="00A51A7C">
        <w:rPr>
          <w:b/>
        </w:rPr>
        <w:t>2010</w:t>
      </w:r>
      <w:r w:rsidRPr="00A51A7C">
        <w:t xml:space="preserve">, </w:t>
      </w:r>
      <w:r w:rsidRPr="00A51A7C">
        <w:rPr>
          <w:i/>
        </w:rPr>
        <w:t>27</w:t>
      </w:r>
      <w:r w:rsidRPr="00A51A7C">
        <w:t>, 2205-2212.</w:t>
      </w:r>
    </w:p>
    <w:p w:rsidR="00740C39" w:rsidRPr="00A51A7C" w:rsidRDefault="00740C39" w:rsidP="00FF5FAD">
      <w:pPr>
        <w:pStyle w:val="EndNoteBibliography"/>
        <w:spacing w:after="0" w:line="480" w:lineRule="auto"/>
        <w:jc w:val="both"/>
      </w:pPr>
      <w:r w:rsidRPr="00A51A7C">
        <w:lastRenderedPageBreak/>
        <w:t>51.</w:t>
      </w:r>
      <w:r w:rsidRPr="00A51A7C">
        <w:tab/>
        <w:t xml:space="preserve">Di Pasqua, A. J.; Huckle, J. E.; Kim, J.-K.; Chung, Y.; Wang, A. Z.; Jay, M.; Lu, X. Preparation of Neutron-Activatable Holmium Nanoparticles for the Treatment of Ovarian Cancer Metastases. </w:t>
      </w:r>
      <w:r w:rsidRPr="00A51A7C">
        <w:rPr>
          <w:i/>
        </w:rPr>
        <w:t xml:space="preserve">Small </w:t>
      </w:r>
      <w:r w:rsidRPr="00A51A7C">
        <w:rPr>
          <w:b/>
        </w:rPr>
        <w:t>2012</w:t>
      </w:r>
      <w:r w:rsidRPr="00A51A7C">
        <w:t xml:space="preserve">, </w:t>
      </w:r>
      <w:r w:rsidRPr="00A51A7C">
        <w:rPr>
          <w:i/>
        </w:rPr>
        <w:t>8</w:t>
      </w:r>
      <w:r w:rsidRPr="00A51A7C">
        <w:t>, 997-1000.</w:t>
      </w:r>
    </w:p>
    <w:p w:rsidR="00740C39" w:rsidRPr="00A51A7C" w:rsidRDefault="00740C39" w:rsidP="00FF5FAD">
      <w:pPr>
        <w:pStyle w:val="EndNoteBibliography"/>
        <w:spacing w:after="0" w:line="480" w:lineRule="auto"/>
        <w:jc w:val="both"/>
      </w:pPr>
      <w:r w:rsidRPr="00A51A7C">
        <w:t>52.</w:t>
      </w:r>
      <w:r w:rsidRPr="00A51A7C">
        <w:tab/>
        <w:t xml:space="preserve">Cagle, D. W.; Thrash, T. P.; Alford, M.; Chibante, L. P. F.; Ehrhardt, G. J.; Wilson, L. J. Synthesis, Characterization, and Neutron Activation of Holmium Metallofullerenes. </w:t>
      </w:r>
      <w:r w:rsidRPr="00A51A7C">
        <w:rPr>
          <w:i/>
        </w:rPr>
        <w:t xml:space="preserve">J. Am. Chem. Soc. </w:t>
      </w:r>
      <w:r w:rsidRPr="00A51A7C">
        <w:rPr>
          <w:b/>
        </w:rPr>
        <w:t>1996</w:t>
      </w:r>
      <w:r w:rsidRPr="00A51A7C">
        <w:t xml:space="preserve">, </w:t>
      </w:r>
      <w:r w:rsidRPr="00A51A7C">
        <w:rPr>
          <w:i/>
        </w:rPr>
        <w:t>118</w:t>
      </w:r>
      <w:r w:rsidRPr="00A51A7C">
        <w:t>, 8043-8047.</w:t>
      </w:r>
    </w:p>
    <w:p w:rsidR="00740C39" w:rsidRPr="00A51A7C" w:rsidRDefault="00740C39" w:rsidP="00FF5FAD">
      <w:pPr>
        <w:pStyle w:val="EndNoteBibliography"/>
        <w:spacing w:after="0" w:line="480" w:lineRule="auto"/>
        <w:jc w:val="both"/>
      </w:pPr>
      <w:r w:rsidRPr="00A51A7C">
        <w:t>53.</w:t>
      </w:r>
      <w:r w:rsidRPr="00A51A7C">
        <w:tab/>
        <w:t xml:space="preserve">Cagle, D. W.; Kennel, S. J.; Mirzadeh, S.; Alford, J. M.; Wilson, L. J. </w:t>
      </w:r>
      <w:r w:rsidRPr="00A51A7C">
        <w:rPr>
          <w:i/>
        </w:rPr>
        <w:t>In Vivo</w:t>
      </w:r>
      <w:r w:rsidRPr="00A51A7C">
        <w:t xml:space="preserve"> Studies of Fullerene-Based Materials Using Endohedral Metallofullerene Radiotracers. </w:t>
      </w:r>
      <w:r w:rsidRPr="00A51A7C">
        <w:rPr>
          <w:i/>
        </w:rPr>
        <w:t xml:space="preserve">Proc. Natl. Acad. Sci. U. S. A. </w:t>
      </w:r>
      <w:r w:rsidRPr="00A51A7C">
        <w:rPr>
          <w:b/>
        </w:rPr>
        <w:t>1999</w:t>
      </w:r>
      <w:r w:rsidRPr="00A51A7C">
        <w:t xml:space="preserve">, </w:t>
      </w:r>
      <w:r w:rsidRPr="00A51A7C">
        <w:rPr>
          <w:i/>
        </w:rPr>
        <w:t>96</w:t>
      </w:r>
      <w:r w:rsidRPr="00A51A7C">
        <w:t>, 5182-5187.</w:t>
      </w:r>
    </w:p>
    <w:p w:rsidR="00740C39" w:rsidRPr="00A51A7C" w:rsidRDefault="00740C39" w:rsidP="00FF5FAD">
      <w:pPr>
        <w:pStyle w:val="EndNoteBibliography"/>
        <w:spacing w:after="0" w:line="480" w:lineRule="auto"/>
        <w:jc w:val="both"/>
      </w:pPr>
      <w:r w:rsidRPr="00A51A7C">
        <w:t>54.</w:t>
      </w:r>
      <w:r w:rsidRPr="00A51A7C">
        <w:tab/>
        <w:t xml:space="preserve">Di Pasqua, A. J.; Yuan, H.; Chung, Y.; Kim, J. K.; Huckle, J. E.; Li, C.; Sadgrove, M.; Tran, T. H.; Jay, M.; Lu, X. Neutron-Activatable Holmium-Containing Mesoporous Silica Nanoparticles as a Potential Radionuclide Therapeutic Agent for Ovarian Cancer. </w:t>
      </w:r>
      <w:r w:rsidRPr="00A51A7C">
        <w:rPr>
          <w:i/>
        </w:rPr>
        <w:t xml:space="preserve">J. Nucl. Med. </w:t>
      </w:r>
      <w:r w:rsidRPr="00A51A7C">
        <w:rPr>
          <w:b/>
        </w:rPr>
        <w:t>2013</w:t>
      </w:r>
      <w:r w:rsidRPr="00A51A7C">
        <w:t xml:space="preserve">, </w:t>
      </w:r>
      <w:r w:rsidRPr="00A51A7C">
        <w:rPr>
          <w:i/>
        </w:rPr>
        <w:t>54</w:t>
      </w:r>
      <w:r w:rsidRPr="00A51A7C">
        <w:t>, 111-116.</w:t>
      </w:r>
    </w:p>
    <w:p w:rsidR="00740C39" w:rsidRPr="00A51A7C" w:rsidRDefault="00740C39" w:rsidP="00FF5FAD">
      <w:pPr>
        <w:pStyle w:val="EndNoteBibliography"/>
        <w:spacing w:after="0" w:line="480" w:lineRule="auto"/>
        <w:jc w:val="both"/>
      </w:pPr>
      <w:r w:rsidRPr="00A51A7C">
        <w:t>55.</w:t>
      </w:r>
      <w:r w:rsidRPr="00A51A7C">
        <w:tab/>
        <w:t xml:space="preserve">Di Pasqua, A. J.; Miller, M. L.; Lu, X.; Peng, L.; Jay, M. Tumor Accumulation of Neutron-Activatable Holmium-Containing Mesoporous Silica Nanoparticles in an Orthotopic Non-Small Cell Lung Cancer Mouse Model. </w:t>
      </w:r>
      <w:r w:rsidRPr="00A51A7C">
        <w:rPr>
          <w:i/>
        </w:rPr>
        <w:t xml:space="preserve">Inorg. Chim. Acta </w:t>
      </w:r>
      <w:r w:rsidRPr="00A51A7C">
        <w:rPr>
          <w:b/>
        </w:rPr>
        <w:t>2012</w:t>
      </w:r>
      <w:r w:rsidRPr="00A51A7C">
        <w:t xml:space="preserve">, </w:t>
      </w:r>
      <w:r w:rsidRPr="00A51A7C">
        <w:rPr>
          <w:i/>
        </w:rPr>
        <w:t>393</w:t>
      </w:r>
      <w:r w:rsidRPr="00A51A7C">
        <w:t>, 334-336.</w:t>
      </w:r>
    </w:p>
    <w:p w:rsidR="00740C39" w:rsidRPr="00A51A7C" w:rsidRDefault="00740C39" w:rsidP="00FF5FAD">
      <w:pPr>
        <w:pStyle w:val="EndNoteBibliography"/>
        <w:spacing w:after="0" w:line="480" w:lineRule="auto"/>
        <w:jc w:val="both"/>
      </w:pPr>
      <w:r w:rsidRPr="00A51A7C">
        <w:t>56.</w:t>
      </w:r>
      <w:r w:rsidRPr="00A51A7C">
        <w:tab/>
        <w:t xml:space="preserve">Munaweera, I.; Koneru, B.; Shi, Y.; Pasqua, A. J. D.; Kenneth J. Balkus, J. Chemoradiotherapeutic Wrinkled Mesoporous Silica Nanoparticles for Use in Cancer Therapy. </w:t>
      </w:r>
      <w:r w:rsidRPr="00A51A7C">
        <w:rPr>
          <w:i/>
        </w:rPr>
        <w:t xml:space="preserve">APL Mater. </w:t>
      </w:r>
      <w:r w:rsidRPr="00A51A7C">
        <w:rPr>
          <w:b/>
        </w:rPr>
        <w:t>2014</w:t>
      </w:r>
      <w:r w:rsidRPr="00A51A7C">
        <w:t xml:space="preserve">, </w:t>
      </w:r>
      <w:r w:rsidRPr="00A51A7C">
        <w:rPr>
          <w:i/>
        </w:rPr>
        <w:t>2</w:t>
      </w:r>
      <w:r w:rsidRPr="00A51A7C">
        <w:t>, 113315.</w:t>
      </w:r>
    </w:p>
    <w:p w:rsidR="00740C39" w:rsidRPr="00A51A7C" w:rsidRDefault="00740C39" w:rsidP="00FF5FAD">
      <w:pPr>
        <w:pStyle w:val="EndNoteBibliography"/>
        <w:spacing w:after="0" w:line="480" w:lineRule="auto"/>
        <w:jc w:val="both"/>
      </w:pPr>
      <w:r w:rsidRPr="00A51A7C">
        <w:t>57.</w:t>
      </w:r>
      <w:r w:rsidRPr="00A51A7C">
        <w:tab/>
        <w:t xml:space="preserve">Munaweera, I.; Shi, Y.; Koneru, B.; Saez, R.; Aliev, A.; Di Pasqua, A. J.; Balkus, K. J. Chemoradiotherapeutic Magnetic Nanoparticles for Targeted Treatment of Nonsmall Cell Lung Cancer. </w:t>
      </w:r>
      <w:r w:rsidRPr="00A51A7C">
        <w:rPr>
          <w:i/>
        </w:rPr>
        <w:t xml:space="preserve">Mol. Pharm. </w:t>
      </w:r>
      <w:r w:rsidRPr="00A51A7C">
        <w:rPr>
          <w:b/>
        </w:rPr>
        <w:t>2015</w:t>
      </w:r>
      <w:r w:rsidRPr="00A51A7C">
        <w:t xml:space="preserve">, </w:t>
      </w:r>
      <w:r w:rsidRPr="00A51A7C">
        <w:rPr>
          <w:i/>
        </w:rPr>
        <w:t>12</w:t>
      </w:r>
      <w:r w:rsidRPr="00A51A7C">
        <w:t>, 3588-3596.</w:t>
      </w:r>
    </w:p>
    <w:p w:rsidR="00740C39" w:rsidRPr="00A51A7C" w:rsidRDefault="00740C39" w:rsidP="00FF5FAD">
      <w:pPr>
        <w:pStyle w:val="EndNoteBibliography"/>
        <w:spacing w:after="0" w:line="480" w:lineRule="auto"/>
        <w:jc w:val="both"/>
      </w:pPr>
      <w:r w:rsidRPr="00A51A7C">
        <w:lastRenderedPageBreak/>
        <w:t>58.</w:t>
      </w:r>
      <w:r w:rsidRPr="00A51A7C">
        <w:tab/>
        <w:t xml:space="preserve">Kim, J.; Luo, Z.-X.; Wu, Y.; Lu, X.; Jay, M. </w:t>
      </w:r>
      <w:r w:rsidRPr="00A51A7C">
        <w:rPr>
          <w:i/>
        </w:rPr>
        <w:t>In-Situ</w:t>
      </w:r>
      <w:r w:rsidRPr="00A51A7C">
        <w:t xml:space="preserve"> Formation of Holmium Oxide in Pores of Mesoporous Carbon Nanoparticles as Substrates for Neutron-Activatable Radiotherapeutics. </w:t>
      </w:r>
      <w:r w:rsidRPr="00A51A7C">
        <w:rPr>
          <w:i/>
        </w:rPr>
        <w:t xml:space="preserve">Carbon </w:t>
      </w:r>
      <w:r w:rsidRPr="00A51A7C">
        <w:rPr>
          <w:b/>
        </w:rPr>
        <w:t>2017</w:t>
      </w:r>
      <w:r w:rsidRPr="00A51A7C">
        <w:t xml:space="preserve">, </w:t>
      </w:r>
      <w:r w:rsidRPr="00A51A7C">
        <w:rPr>
          <w:i/>
        </w:rPr>
        <w:t>117</w:t>
      </w:r>
      <w:r w:rsidRPr="00A51A7C">
        <w:t>, 92-99.</w:t>
      </w:r>
    </w:p>
    <w:p w:rsidR="00740C39" w:rsidRPr="00A51A7C" w:rsidRDefault="00740C39" w:rsidP="00FF5FAD">
      <w:pPr>
        <w:pStyle w:val="EndNoteBibliography"/>
        <w:spacing w:after="0" w:line="480" w:lineRule="auto"/>
        <w:jc w:val="both"/>
      </w:pPr>
      <w:r w:rsidRPr="00A51A7C">
        <w:t>59.</w:t>
      </w:r>
      <w:r w:rsidRPr="00A51A7C">
        <w:tab/>
        <w:t xml:space="preserve">Kim, J.; Jay, M. Neutron-Activatable Radionuclide Cancer Therapy Using Graphene Oxide Nanoplatelets. </w:t>
      </w:r>
      <w:r w:rsidRPr="00A51A7C">
        <w:rPr>
          <w:i/>
        </w:rPr>
        <w:t xml:space="preserve">Nucl. Med. Biol. </w:t>
      </w:r>
      <w:r w:rsidRPr="00A51A7C">
        <w:rPr>
          <w:b/>
        </w:rPr>
        <w:t>2017</w:t>
      </w:r>
      <w:r w:rsidRPr="00A51A7C">
        <w:t xml:space="preserve">, </w:t>
      </w:r>
      <w:r w:rsidRPr="00A51A7C">
        <w:rPr>
          <w:i/>
        </w:rPr>
        <w:t>52</w:t>
      </w:r>
      <w:r w:rsidRPr="00A51A7C">
        <w:t>, 42-48.</w:t>
      </w:r>
    </w:p>
    <w:p w:rsidR="00740C39" w:rsidRPr="00A51A7C" w:rsidRDefault="00740C39" w:rsidP="00FF5FAD">
      <w:pPr>
        <w:pStyle w:val="EndNoteBibliography"/>
        <w:spacing w:after="0" w:line="480" w:lineRule="auto"/>
        <w:jc w:val="both"/>
      </w:pPr>
      <w:r w:rsidRPr="00A51A7C">
        <w:t>60.</w:t>
      </w:r>
      <w:r w:rsidRPr="00A51A7C">
        <w:tab/>
        <w:t>Smits, M. L. J.; Nijsen, J. F. W.; van den Bosch, M. A. A. J.; Lam, M. G. E. H.; Vente, M. A. D.; Mali, W. P. T. M.; van het Schip, A. D.; Zonnenberg, B. A. Holmium-166 Radioembolisation in Patients with Unresectable, Chemorefractory Liver Metastases (H</w:t>
      </w:r>
      <w:r w:rsidR="009B1B49" w:rsidRPr="00A51A7C">
        <w:t>EPAR</w:t>
      </w:r>
      <w:r w:rsidRPr="00A51A7C">
        <w:t xml:space="preserve"> Trial): A Phase 1, Dose-Escalation Study. </w:t>
      </w:r>
      <w:r w:rsidRPr="00A51A7C">
        <w:rPr>
          <w:i/>
        </w:rPr>
        <w:t xml:space="preserve">Lancet Oncol. </w:t>
      </w:r>
      <w:r w:rsidRPr="00A51A7C">
        <w:rPr>
          <w:b/>
        </w:rPr>
        <w:t>2012</w:t>
      </w:r>
      <w:r w:rsidRPr="00A51A7C">
        <w:t xml:space="preserve">, </w:t>
      </w:r>
      <w:r w:rsidRPr="00A51A7C">
        <w:rPr>
          <w:i/>
        </w:rPr>
        <w:t>13</w:t>
      </w:r>
      <w:r w:rsidRPr="00A51A7C">
        <w:t>, 1025-1034.</w:t>
      </w:r>
    </w:p>
    <w:p w:rsidR="00740C39" w:rsidRPr="00A51A7C" w:rsidRDefault="00740C39" w:rsidP="00FF5FAD">
      <w:pPr>
        <w:pStyle w:val="EndNoteBibliography"/>
        <w:spacing w:after="0" w:line="480" w:lineRule="auto"/>
        <w:jc w:val="both"/>
      </w:pPr>
      <w:r w:rsidRPr="00A51A7C">
        <w:t>61.</w:t>
      </w:r>
      <w:r w:rsidRPr="00A51A7C">
        <w:tab/>
        <w:t xml:space="preserve">Radosa, C. G.; Radosa, J. C.; Grosche-Schlee, S.; Zöphel, K.; Plodeck, V.; Kühn, J. P.; Kotzerke, J.; Hoffmann, R.-T. Holmium-166 Radioembolization in Hepatocellular Carcinoma: Feasibility and Safety of a New Treatment Option in Clinical Practice. </w:t>
      </w:r>
      <w:r w:rsidRPr="00A51A7C">
        <w:rPr>
          <w:i/>
        </w:rPr>
        <w:t xml:space="preserve">Cardiovasc. Interv. Radiol. </w:t>
      </w:r>
      <w:r w:rsidRPr="00A51A7C">
        <w:rPr>
          <w:b/>
        </w:rPr>
        <w:t>2019</w:t>
      </w:r>
      <w:r w:rsidRPr="00A51A7C">
        <w:t xml:space="preserve">, </w:t>
      </w:r>
      <w:r w:rsidRPr="00A51A7C">
        <w:rPr>
          <w:i/>
        </w:rPr>
        <w:t>42</w:t>
      </w:r>
      <w:r w:rsidRPr="00A51A7C">
        <w:t>, 405-412.</w:t>
      </w:r>
    </w:p>
    <w:p w:rsidR="00740C39" w:rsidRPr="00A51A7C" w:rsidRDefault="00740C39" w:rsidP="00FF5FAD">
      <w:pPr>
        <w:pStyle w:val="EndNoteBibliography"/>
        <w:spacing w:after="0" w:line="480" w:lineRule="auto"/>
        <w:jc w:val="both"/>
      </w:pPr>
      <w:r w:rsidRPr="00A51A7C">
        <w:t>62.</w:t>
      </w:r>
      <w:r w:rsidRPr="00A51A7C">
        <w:tab/>
        <w:t xml:space="preserve">Kierkowicz, M.; Pach, E.; Santidrián, A.; Sandoval, S.; Gonçalves, G.; Tobías-Rossell, E.; Kalbáč, M.; Ballesteros, B.; Tobias, G. Comparative Study of Shortening and Cutting Strategies of Single-Walled and Multi-Walled Carbon Nanotubes Assessed by Scanning Electron Microscopy. </w:t>
      </w:r>
      <w:r w:rsidRPr="00A51A7C">
        <w:rPr>
          <w:i/>
        </w:rPr>
        <w:t xml:space="preserve">Carbon </w:t>
      </w:r>
      <w:r w:rsidRPr="00A51A7C">
        <w:rPr>
          <w:b/>
        </w:rPr>
        <w:t>2018</w:t>
      </w:r>
      <w:r w:rsidRPr="00A51A7C">
        <w:t xml:space="preserve">, </w:t>
      </w:r>
      <w:r w:rsidRPr="00A51A7C">
        <w:rPr>
          <w:i/>
        </w:rPr>
        <w:t>139</w:t>
      </w:r>
      <w:r w:rsidRPr="00A51A7C">
        <w:t>, 922-932.</w:t>
      </w:r>
    </w:p>
    <w:p w:rsidR="00740C39" w:rsidRPr="00A51A7C" w:rsidRDefault="00740C39" w:rsidP="00FF5FAD">
      <w:pPr>
        <w:pStyle w:val="EndNoteBibliography"/>
        <w:spacing w:after="0" w:line="480" w:lineRule="auto"/>
        <w:jc w:val="both"/>
      </w:pPr>
      <w:r w:rsidRPr="00A51A7C">
        <w:t>63.</w:t>
      </w:r>
      <w:r w:rsidRPr="00A51A7C">
        <w:tab/>
      </w:r>
      <w:r w:rsidRPr="00A51A7C">
        <w:rPr>
          <w:i/>
        </w:rPr>
        <w:t>Manual for Reactor Produced Radioisotopes, Iaea-Tecdoc-1340</w:t>
      </w:r>
      <w:r w:rsidRPr="00A51A7C">
        <w:t xml:space="preserve">. Vienna, Austria, </w:t>
      </w:r>
      <w:r w:rsidRPr="00A51A7C">
        <w:rPr>
          <w:b/>
        </w:rPr>
        <w:t>2003</w:t>
      </w:r>
      <w:r w:rsidRPr="00A51A7C">
        <w:t>, 189-192.</w:t>
      </w:r>
    </w:p>
    <w:p w:rsidR="00740C39" w:rsidRPr="00A51A7C" w:rsidRDefault="00740C39" w:rsidP="00FF5FAD">
      <w:pPr>
        <w:pStyle w:val="EndNoteBibliography"/>
        <w:spacing w:after="0" w:line="480" w:lineRule="auto"/>
        <w:jc w:val="both"/>
      </w:pPr>
      <w:r w:rsidRPr="00A51A7C">
        <w:t>64.</w:t>
      </w:r>
      <w:r w:rsidRPr="00A51A7C">
        <w:tab/>
        <w:t xml:space="preserve">Giulio, C.; Simonelli, F.; Holzwarth, U.; Gibson, P. </w:t>
      </w:r>
      <w:r w:rsidR="002A2220" w:rsidRPr="00A51A7C">
        <w:t xml:space="preserve">Neutron Activation of Nanoparticles. </w:t>
      </w:r>
      <w:r w:rsidRPr="00A51A7C">
        <w:t xml:space="preserve">In </w:t>
      </w:r>
      <w:r w:rsidRPr="00A51A7C">
        <w:rPr>
          <w:i/>
        </w:rPr>
        <w:t>Isotopes in Nanoparticles: Fundamentals and Applications</w:t>
      </w:r>
      <w:r w:rsidR="002A2220" w:rsidRPr="00A51A7C">
        <w:t>; Llop-Roig, J., Gómez-Vallejo, V.,</w:t>
      </w:r>
      <w:r w:rsidRPr="00A51A7C">
        <w:t xml:space="preserve"> Gibson, N., Eds.</w:t>
      </w:r>
      <w:r w:rsidR="002A2220" w:rsidRPr="00A51A7C">
        <w:t>;</w:t>
      </w:r>
      <w:r w:rsidRPr="00A51A7C">
        <w:t xml:space="preserve"> Pan Stanford Publishin</w:t>
      </w:r>
      <w:r w:rsidR="00A71667" w:rsidRPr="00A51A7C">
        <w:t>g</w:t>
      </w:r>
      <w:r w:rsidR="002A2220" w:rsidRPr="00A51A7C">
        <w:t>: Boca Raton, 2016; pp 315-334.</w:t>
      </w:r>
    </w:p>
    <w:p w:rsidR="00740C39" w:rsidRPr="00A51A7C" w:rsidRDefault="00740C39" w:rsidP="00FF5FAD">
      <w:pPr>
        <w:pStyle w:val="EndNoteBibliography"/>
        <w:spacing w:after="0" w:line="480" w:lineRule="auto"/>
        <w:jc w:val="both"/>
      </w:pPr>
      <w:r w:rsidRPr="00A51A7C">
        <w:lastRenderedPageBreak/>
        <w:t>65.</w:t>
      </w:r>
      <w:r w:rsidRPr="00A51A7C">
        <w:tab/>
        <w:t xml:space="preserve">Martincic, M.; Pach, E.; Ballesteros, B.; Tobias, G. Quantitative Monitoring of the Removal of Non-Encapsulated Material External to Filled Carbon Nanotube Samples. </w:t>
      </w:r>
      <w:r w:rsidRPr="00A51A7C">
        <w:rPr>
          <w:i/>
        </w:rPr>
        <w:t xml:space="preserve">Phys. Chem. Chem. Phys. </w:t>
      </w:r>
      <w:r w:rsidRPr="00A51A7C">
        <w:rPr>
          <w:b/>
        </w:rPr>
        <w:t>2015</w:t>
      </w:r>
      <w:r w:rsidRPr="00A51A7C">
        <w:t xml:space="preserve">, </w:t>
      </w:r>
      <w:r w:rsidRPr="00A51A7C">
        <w:rPr>
          <w:i/>
        </w:rPr>
        <w:t>17</w:t>
      </w:r>
      <w:r w:rsidRPr="00A51A7C">
        <w:t>, 31662-31669.</w:t>
      </w:r>
    </w:p>
    <w:p w:rsidR="00740C39" w:rsidRPr="00A51A7C" w:rsidRDefault="00740C39" w:rsidP="00FF5FAD">
      <w:pPr>
        <w:pStyle w:val="EndNoteBibliography"/>
        <w:spacing w:after="0" w:line="480" w:lineRule="auto"/>
        <w:jc w:val="both"/>
      </w:pPr>
      <w:r w:rsidRPr="00A51A7C">
        <w:t>66.</w:t>
      </w:r>
      <w:r w:rsidRPr="00A51A7C">
        <w:tab/>
        <w:t>Hutchison, J. L.; Grobert, N.; Zakalyukin, R. M.; Eliseev, A. A.; Chernisheva, M. V.; Kumskov, A. S.; Grigoriev, Y. V.; Krestinin, A. V.; Freitag, B.; Kiselev, N. A. The Behaviour of 1</w:t>
      </w:r>
      <w:r w:rsidR="009B1B49" w:rsidRPr="00A51A7C">
        <w:t>D CuI</w:t>
      </w:r>
      <w:r w:rsidRPr="00A51A7C">
        <w:t xml:space="preserve"> Crystal@S</w:t>
      </w:r>
      <w:r w:rsidR="009B1B49" w:rsidRPr="00A51A7C">
        <w:t>WNT</w:t>
      </w:r>
      <w:r w:rsidRPr="00A51A7C">
        <w:t xml:space="preserve"> Nanocomposite under Electron Irradiation. </w:t>
      </w:r>
      <w:r w:rsidRPr="00A51A7C">
        <w:rPr>
          <w:i/>
        </w:rPr>
        <w:t>AIP Conf</w:t>
      </w:r>
      <w:r w:rsidR="0035173A" w:rsidRPr="00A51A7C">
        <w:rPr>
          <w:i/>
        </w:rPr>
        <w:t>.</w:t>
      </w:r>
      <w:r w:rsidRPr="00A51A7C">
        <w:rPr>
          <w:i/>
        </w:rPr>
        <w:t xml:space="preserve"> Proc</w:t>
      </w:r>
      <w:r w:rsidR="0035173A" w:rsidRPr="00A51A7C">
        <w:rPr>
          <w:i/>
        </w:rPr>
        <w:t>.</w:t>
      </w:r>
      <w:r w:rsidRPr="00A51A7C">
        <w:rPr>
          <w:i/>
        </w:rPr>
        <w:t xml:space="preserve"> </w:t>
      </w:r>
      <w:r w:rsidRPr="00A51A7C">
        <w:rPr>
          <w:b/>
        </w:rPr>
        <w:t>2008</w:t>
      </w:r>
      <w:r w:rsidRPr="00A51A7C">
        <w:t xml:space="preserve">, </w:t>
      </w:r>
      <w:r w:rsidRPr="00A51A7C">
        <w:rPr>
          <w:i/>
        </w:rPr>
        <w:t>999</w:t>
      </w:r>
      <w:r w:rsidRPr="00A51A7C">
        <w:t>, 79-92.</w:t>
      </w:r>
    </w:p>
    <w:p w:rsidR="00740C39" w:rsidRPr="00A51A7C" w:rsidRDefault="00740C39" w:rsidP="00FF5FAD">
      <w:pPr>
        <w:pStyle w:val="EndNoteBibliography"/>
        <w:spacing w:after="0" w:line="480" w:lineRule="auto"/>
        <w:jc w:val="both"/>
      </w:pPr>
      <w:r w:rsidRPr="00A51A7C">
        <w:t>67.</w:t>
      </w:r>
      <w:r w:rsidRPr="00A51A7C">
        <w:tab/>
        <w:t>Cabana, L.; Ballesteros, B.; Batista, E.; Magén, C.; Arenal, R.; Oró-Solé, J.; Rurali, R.; Tobias, G. Synthesis of Pb</w:t>
      </w:r>
      <w:r w:rsidR="009B1B49" w:rsidRPr="00A51A7C">
        <w:t>I</w:t>
      </w:r>
      <w:r w:rsidRPr="00A51A7C">
        <w:rPr>
          <w:vertAlign w:val="subscript"/>
        </w:rPr>
        <w:t>2</w:t>
      </w:r>
      <w:r w:rsidRPr="00A51A7C">
        <w:t xml:space="preserve"> Single-Layered Inorganic Nanotubes Encapsulated within Carbon Nanotubes. </w:t>
      </w:r>
      <w:r w:rsidRPr="00A51A7C">
        <w:rPr>
          <w:i/>
        </w:rPr>
        <w:t xml:space="preserve">Adv. Mater. </w:t>
      </w:r>
      <w:r w:rsidRPr="00A51A7C">
        <w:rPr>
          <w:b/>
        </w:rPr>
        <w:t>2014</w:t>
      </w:r>
      <w:r w:rsidRPr="00A51A7C">
        <w:t xml:space="preserve">, </w:t>
      </w:r>
      <w:r w:rsidRPr="00A51A7C">
        <w:rPr>
          <w:i/>
        </w:rPr>
        <w:t>26</w:t>
      </w:r>
      <w:r w:rsidRPr="00A51A7C">
        <w:t>, 2016-2021.</w:t>
      </w:r>
    </w:p>
    <w:p w:rsidR="00740C39" w:rsidRPr="00A51A7C" w:rsidRDefault="00740C39" w:rsidP="00FF5FAD">
      <w:pPr>
        <w:pStyle w:val="EndNoteBibliography"/>
        <w:spacing w:after="0" w:line="480" w:lineRule="auto"/>
        <w:jc w:val="both"/>
      </w:pPr>
      <w:r w:rsidRPr="00A51A7C">
        <w:t>68.</w:t>
      </w:r>
      <w:r w:rsidRPr="00A51A7C">
        <w:tab/>
        <w:t xml:space="preserve">Hart, M.; White, E. R.; Chen, J.; McGilvery, C. M.; Pickard, C. J.; Michaelides, A.; Sella, A.; Shaffer, M. S. P.; Salzmann, C. G. Encapsulation and Polymerization of White Phosphorus inside Single-Wall Carbon Nanotubes. </w:t>
      </w:r>
      <w:r w:rsidRPr="00A51A7C">
        <w:rPr>
          <w:i/>
        </w:rPr>
        <w:t xml:space="preserve">Angew. Chem. Int. Ed. </w:t>
      </w:r>
      <w:r w:rsidRPr="00A51A7C">
        <w:rPr>
          <w:b/>
        </w:rPr>
        <w:t>2017</w:t>
      </w:r>
      <w:r w:rsidRPr="00A51A7C">
        <w:t xml:space="preserve">, </w:t>
      </w:r>
      <w:r w:rsidRPr="00A51A7C">
        <w:rPr>
          <w:i/>
        </w:rPr>
        <w:t>56</w:t>
      </w:r>
      <w:r w:rsidRPr="00A51A7C">
        <w:t>, 8144-8148.</w:t>
      </w:r>
    </w:p>
    <w:p w:rsidR="00740C39" w:rsidRPr="00A51A7C" w:rsidRDefault="00740C39" w:rsidP="00FF5FAD">
      <w:pPr>
        <w:pStyle w:val="EndNoteBibliography"/>
        <w:spacing w:after="0" w:line="480" w:lineRule="auto"/>
        <w:jc w:val="both"/>
      </w:pPr>
      <w:r w:rsidRPr="00A51A7C">
        <w:t>69.</w:t>
      </w:r>
      <w:r w:rsidRPr="00A51A7C">
        <w:tab/>
        <w:t xml:space="preserve">Sandoval, S.; Kepić, D.; Pérez del Pino, Á.; György, E.; Gómez, A.; Pfannmoeller, M.; Tendeloo, G. V.; Ballesteros, B.; Tobias, G. Selective Laser-Assisted Synthesis of Tubular </w:t>
      </w:r>
      <w:r w:rsidR="0035173A" w:rsidRPr="00A51A7C">
        <w:t>v</w:t>
      </w:r>
      <w:r w:rsidRPr="00A51A7C">
        <w:t xml:space="preserve">an </w:t>
      </w:r>
      <w:r w:rsidR="00727286" w:rsidRPr="00A51A7C">
        <w:t>d</w:t>
      </w:r>
      <w:r w:rsidRPr="00A51A7C">
        <w:t>er Waals Heterostructures of Single-Layered Pb</w:t>
      </w:r>
      <w:r w:rsidR="009B1B49" w:rsidRPr="00A51A7C">
        <w:t>I</w:t>
      </w:r>
      <w:r w:rsidRPr="00A51A7C">
        <w:rPr>
          <w:vertAlign w:val="subscript"/>
        </w:rPr>
        <w:t>2</w:t>
      </w:r>
      <w:r w:rsidRPr="00A51A7C">
        <w:t xml:space="preserve"> within Carbon Nanotubes Exhibiting Carrier Photogeneration. </w:t>
      </w:r>
      <w:r w:rsidRPr="00A51A7C">
        <w:rPr>
          <w:i/>
        </w:rPr>
        <w:t xml:space="preserve">ACS Nano </w:t>
      </w:r>
      <w:r w:rsidRPr="00A51A7C">
        <w:rPr>
          <w:b/>
        </w:rPr>
        <w:t>2018</w:t>
      </w:r>
      <w:r w:rsidRPr="00A51A7C">
        <w:t xml:space="preserve">, </w:t>
      </w:r>
      <w:r w:rsidRPr="00A51A7C">
        <w:rPr>
          <w:i/>
        </w:rPr>
        <w:t>12</w:t>
      </w:r>
      <w:r w:rsidRPr="00A51A7C">
        <w:t>, 6648-6656.</w:t>
      </w:r>
    </w:p>
    <w:p w:rsidR="00740C39" w:rsidRPr="00A51A7C" w:rsidRDefault="00740C39" w:rsidP="00FF5FAD">
      <w:pPr>
        <w:pStyle w:val="EndNoteBibliography"/>
        <w:spacing w:after="0" w:line="480" w:lineRule="auto"/>
        <w:jc w:val="both"/>
      </w:pPr>
      <w:r w:rsidRPr="00A51A7C">
        <w:t>70.</w:t>
      </w:r>
      <w:r w:rsidRPr="00A51A7C">
        <w:tab/>
        <w:t>Vasylenko, A.; Marks, S.; Wynn, J. M.; Medeiros, P. V. C.; Ramasse, Q. M.; Morris, A. J.; Sloan, J.; Quigley, D. Electronic Structure Control of Sub-Nanometer 1</w:t>
      </w:r>
      <w:r w:rsidR="00727286" w:rsidRPr="00A51A7C">
        <w:t>D SnT</w:t>
      </w:r>
      <w:r w:rsidRPr="00A51A7C">
        <w:t xml:space="preserve">e </w:t>
      </w:r>
      <w:r w:rsidR="00491916" w:rsidRPr="00A51A7C">
        <w:rPr>
          <w:i/>
        </w:rPr>
        <w:t>v</w:t>
      </w:r>
      <w:r w:rsidRPr="00A51A7C">
        <w:rPr>
          <w:i/>
        </w:rPr>
        <w:t>ia</w:t>
      </w:r>
      <w:r w:rsidRPr="00A51A7C">
        <w:t xml:space="preserve"> Nanostructuring within Single-Walled Carbon Nanotubes. </w:t>
      </w:r>
      <w:r w:rsidRPr="00A51A7C">
        <w:rPr>
          <w:i/>
        </w:rPr>
        <w:t xml:space="preserve">ACS Nano </w:t>
      </w:r>
      <w:r w:rsidRPr="00A51A7C">
        <w:rPr>
          <w:b/>
        </w:rPr>
        <w:t>2018</w:t>
      </w:r>
      <w:r w:rsidRPr="00A51A7C">
        <w:t xml:space="preserve">, </w:t>
      </w:r>
      <w:r w:rsidRPr="00A51A7C">
        <w:rPr>
          <w:i/>
        </w:rPr>
        <w:t>12</w:t>
      </w:r>
      <w:r w:rsidRPr="00A51A7C">
        <w:t>, 6023-6031.</w:t>
      </w:r>
    </w:p>
    <w:p w:rsidR="00740C39" w:rsidRPr="00A51A7C" w:rsidRDefault="00740C39" w:rsidP="00FF5FAD">
      <w:pPr>
        <w:pStyle w:val="EndNoteBibliography"/>
        <w:spacing w:after="0" w:line="480" w:lineRule="auto"/>
        <w:jc w:val="both"/>
      </w:pPr>
      <w:r w:rsidRPr="00A51A7C">
        <w:t>71.</w:t>
      </w:r>
      <w:r w:rsidRPr="00A51A7C">
        <w:tab/>
        <w:t>Slade, C. A.; Sanchez, A. M.; Sloan, J. Unprecedented New Crystalline Forms of Sn</w:t>
      </w:r>
      <w:r w:rsidR="00727286" w:rsidRPr="00A51A7C">
        <w:t>S</w:t>
      </w:r>
      <w:r w:rsidRPr="00A51A7C">
        <w:t xml:space="preserve">e in Narrow to Medium Diameter Carbon Nanotubes. </w:t>
      </w:r>
      <w:r w:rsidRPr="00A51A7C">
        <w:rPr>
          <w:i/>
        </w:rPr>
        <w:t xml:space="preserve">Nano Lett. </w:t>
      </w:r>
      <w:r w:rsidRPr="00A51A7C">
        <w:rPr>
          <w:b/>
        </w:rPr>
        <w:t>2019</w:t>
      </w:r>
      <w:r w:rsidRPr="00A51A7C">
        <w:t xml:space="preserve">, </w:t>
      </w:r>
      <w:r w:rsidRPr="00A51A7C">
        <w:rPr>
          <w:i/>
        </w:rPr>
        <w:t>19</w:t>
      </w:r>
      <w:r w:rsidRPr="00A51A7C">
        <w:t>, 2979-2984.</w:t>
      </w:r>
    </w:p>
    <w:p w:rsidR="00740C39" w:rsidRPr="00A51A7C" w:rsidRDefault="00740C39" w:rsidP="00FF5FAD">
      <w:pPr>
        <w:pStyle w:val="EndNoteBibliography"/>
        <w:spacing w:after="0" w:line="480" w:lineRule="auto"/>
        <w:jc w:val="both"/>
      </w:pPr>
      <w:r w:rsidRPr="00A51A7C">
        <w:lastRenderedPageBreak/>
        <w:t>72.</w:t>
      </w:r>
      <w:r w:rsidRPr="00A51A7C">
        <w:tab/>
        <w:t>Tse, J. W.; Wiebe, L. I.; Noujaim, A. A. High Specific Activity [Samarium-153] E</w:t>
      </w:r>
      <w:r w:rsidR="00727286" w:rsidRPr="00A51A7C">
        <w:t>DTA</w:t>
      </w:r>
      <w:r w:rsidRPr="00A51A7C">
        <w:t xml:space="preserve"> for Imaging of Experimental Tumor Models. </w:t>
      </w:r>
      <w:r w:rsidRPr="00A51A7C">
        <w:rPr>
          <w:i/>
        </w:rPr>
        <w:t xml:space="preserve">J. Nucl. Med. </w:t>
      </w:r>
      <w:r w:rsidRPr="00A51A7C">
        <w:rPr>
          <w:b/>
        </w:rPr>
        <w:t>1989</w:t>
      </w:r>
      <w:r w:rsidRPr="00A51A7C">
        <w:t xml:space="preserve">, </w:t>
      </w:r>
      <w:r w:rsidRPr="00A51A7C">
        <w:rPr>
          <w:i/>
        </w:rPr>
        <w:t>30</w:t>
      </w:r>
      <w:r w:rsidRPr="00A51A7C">
        <w:t>, 202-208.</w:t>
      </w:r>
    </w:p>
    <w:p w:rsidR="00740C39" w:rsidRPr="00A51A7C" w:rsidRDefault="00740C39" w:rsidP="00FF5FAD">
      <w:pPr>
        <w:pStyle w:val="EndNoteBibliography"/>
        <w:spacing w:after="0" w:line="480" w:lineRule="auto"/>
        <w:jc w:val="both"/>
      </w:pPr>
      <w:r w:rsidRPr="00A51A7C">
        <w:t>73.</w:t>
      </w:r>
      <w:r w:rsidRPr="00A51A7C">
        <w:tab/>
        <w:t xml:space="preserve">Fidler, I. J. Selection of Successive Tumour Lines for Metastasis. </w:t>
      </w:r>
      <w:r w:rsidRPr="00A51A7C">
        <w:rPr>
          <w:i/>
        </w:rPr>
        <w:t xml:space="preserve">Nat. New Biol. </w:t>
      </w:r>
      <w:r w:rsidRPr="00A51A7C">
        <w:rPr>
          <w:b/>
        </w:rPr>
        <w:t>1973</w:t>
      </w:r>
      <w:r w:rsidRPr="00A51A7C">
        <w:t xml:space="preserve">, </w:t>
      </w:r>
      <w:r w:rsidRPr="00A51A7C">
        <w:rPr>
          <w:i/>
        </w:rPr>
        <w:t>242</w:t>
      </w:r>
      <w:r w:rsidRPr="00A51A7C">
        <w:t>, 148-</w:t>
      </w:r>
      <w:r w:rsidR="0035173A" w:rsidRPr="00A51A7C">
        <w:t>14</w:t>
      </w:r>
      <w:r w:rsidRPr="00A51A7C">
        <w:t>9.</w:t>
      </w:r>
    </w:p>
    <w:p w:rsidR="00740C39" w:rsidRPr="00A51A7C" w:rsidRDefault="00740C39" w:rsidP="00FF5FAD">
      <w:pPr>
        <w:pStyle w:val="EndNoteBibliography"/>
        <w:spacing w:after="0" w:line="480" w:lineRule="auto"/>
        <w:jc w:val="both"/>
      </w:pPr>
      <w:r w:rsidRPr="00A51A7C">
        <w:t>74.</w:t>
      </w:r>
      <w:r w:rsidRPr="00A51A7C">
        <w:tab/>
        <w:t>Siddikuzzaman; Grace, V. M. B. Inhibition of Metastatic Lung Cancer in C57</w:t>
      </w:r>
      <w:r w:rsidR="00727286" w:rsidRPr="00A51A7C">
        <w:t>BL</w:t>
      </w:r>
      <w:r w:rsidRPr="00A51A7C">
        <w:t>/6 Mice by Liposome Encapsulated All Trans Retinoic Acid (A</w:t>
      </w:r>
      <w:r w:rsidR="00727286" w:rsidRPr="00A51A7C">
        <w:t>TRA</w:t>
      </w:r>
      <w:r w:rsidRPr="00A51A7C">
        <w:t xml:space="preserve">). </w:t>
      </w:r>
      <w:r w:rsidRPr="00A51A7C">
        <w:rPr>
          <w:i/>
        </w:rPr>
        <w:t xml:space="preserve">Int. Immunopharmacol. </w:t>
      </w:r>
      <w:r w:rsidRPr="00A51A7C">
        <w:rPr>
          <w:b/>
        </w:rPr>
        <w:t>2012</w:t>
      </w:r>
      <w:r w:rsidRPr="00A51A7C">
        <w:t xml:space="preserve">, </w:t>
      </w:r>
      <w:r w:rsidRPr="00A51A7C">
        <w:rPr>
          <w:i/>
        </w:rPr>
        <w:t>14</w:t>
      </w:r>
      <w:r w:rsidRPr="00A51A7C">
        <w:t>, 570-579.</w:t>
      </w:r>
    </w:p>
    <w:p w:rsidR="00740C39" w:rsidRPr="00A51A7C" w:rsidRDefault="00740C39" w:rsidP="00FF5FAD">
      <w:pPr>
        <w:pStyle w:val="EndNoteBibliography"/>
        <w:spacing w:after="0" w:line="480" w:lineRule="auto"/>
        <w:jc w:val="both"/>
      </w:pPr>
      <w:r w:rsidRPr="00A51A7C">
        <w:t>75.</w:t>
      </w:r>
      <w:r w:rsidRPr="00A51A7C">
        <w:tab/>
        <w:t xml:space="preserve">Perez Ruiz de Garibay, A.; Spinato, C.; Klippstein, R.; Bourgognon, M.; Martincic, M.; Pach, E.; Ballesteros, B.; Ménard-Moyon, C.; Al-Jamal, K. T.; Tobias, G.; Bianco, A. Evaluation of the Immunological Profile of Antibody-Functionalized Metal-Filled Single-Walled Carbon Nanocapsules for Targeted Radiotherapy. </w:t>
      </w:r>
      <w:r w:rsidRPr="00A51A7C">
        <w:rPr>
          <w:i/>
        </w:rPr>
        <w:t xml:space="preserve">Sci. Rep. </w:t>
      </w:r>
      <w:r w:rsidRPr="00A51A7C">
        <w:rPr>
          <w:b/>
        </w:rPr>
        <w:t>2017</w:t>
      </w:r>
      <w:r w:rsidRPr="00A51A7C">
        <w:t xml:space="preserve">, </w:t>
      </w:r>
      <w:r w:rsidRPr="00A51A7C">
        <w:rPr>
          <w:i/>
        </w:rPr>
        <w:t>7</w:t>
      </w:r>
      <w:r w:rsidRPr="00A51A7C">
        <w:t>, 42605.</w:t>
      </w:r>
    </w:p>
    <w:p w:rsidR="00740C39" w:rsidRPr="00A51A7C" w:rsidRDefault="00740C39" w:rsidP="00FF5FAD">
      <w:pPr>
        <w:pStyle w:val="EndNoteBibliography"/>
        <w:spacing w:after="0" w:line="480" w:lineRule="auto"/>
        <w:jc w:val="both"/>
      </w:pPr>
      <w:r w:rsidRPr="00A51A7C">
        <w:t>76.</w:t>
      </w:r>
      <w:r w:rsidRPr="00A51A7C">
        <w:tab/>
        <w:t>Kallini, J. R.; Gabr, A.; Thorlund, K.; Balijepalli, C.; Ayres, D.; Kanters, S.; Ebrahim, S.; Mills, E.; Lewandowski, R. J.; Salem, R. Comparison of the Adverse Event Profile of Therasphere</w:t>
      </w:r>
      <w:r w:rsidRPr="00A51A7C">
        <w:rPr>
          <w:vertAlign w:val="superscript"/>
        </w:rPr>
        <w:t>®</w:t>
      </w:r>
      <w:r w:rsidRPr="00A51A7C">
        <w:t xml:space="preserve"> with S</w:t>
      </w:r>
      <w:r w:rsidR="00B07ACC" w:rsidRPr="00A51A7C">
        <w:t>IR</w:t>
      </w:r>
      <w:r w:rsidRPr="00A51A7C">
        <w:t>-Spheres</w:t>
      </w:r>
      <w:r w:rsidRPr="00A51A7C">
        <w:rPr>
          <w:vertAlign w:val="superscript"/>
        </w:rPr>
        <w:t>®</w:t>
      </w:r>
      <w:r w:rsidRPr="00A51A7C">
        <w:t xml:space="preserve"> for the Treatment of Unresectable Hepatocellular Carcinoma: A Systematic Review. </w:t>
      </w:r>
      <w:r w:rsidRPr="00A51A7C">
        <w:rPr>
          <w:i/>
        </w:rPr>
        <w:t xml:space="preserve">Cardiovasc. Interv. Radiol. </w:t>
      </w:r>
      <w:r w:rsidRPr="00A51A7C">
        <w:rPr>
          <w:b/>
        </w:rPr>
        <w:t>2017</w:t>
      </w:r>
      <w:r w:rsidRPr="00A51A7C">
        <w:t xml:space="preserve">, </w:t>
      </w:r>
      <w:r w:rsidRPr="00A51A7C">
        <w:rPr>
          <w:i/>
        </w:rPr>
        <w:t>40</w:t>
      </w:r>
      <w:r w:rsidRPr="00A51A7C">
        <w:t>, 1033-1043.</w:t>
      </w:r>
    </w:p>
    <w:p w:rsidR="00B9690D" w:rsidRPr="00A51A7C" w:rsidRDefault="00740C39" w:rsidP="00B9690D">
      <w:pPr>
        <w:pStyle w:val="EndNoteBibliography"/>
        <w:spacing w:after="0" w:line="480" w:lineRule="auto"/>
        <w:jc w:val="both"/>
      </w:pPr>
      <w:r w:rsidRPr="00A51A7C">
        <w:t>77.</w:t>
      </w:r>
      <w:r w:rsidRPr="00A51A7C">
        <w:tab/>
      </w:r>
      <w:r w:rsidR="0053480E" w:rsidRPr="00A51A7C">
        <w:t>TheraSphere</w:t>
      </w:r>
      <w:r w:rsidR="0053480E" w:rsidRPr="00A51A7C">
        <w:rPr>
          <w:vertAlign w:val="superscript"/>
        </w:rPr>
        <w:t>®</w:t>
      </w:r>
      <w:r w:rsidR="00B9690D" w:rsidRPr="00A51A7C">
        <w:t xml:space="preserve">. </w:t>
      </w:r>
      <w:r w:rsidR="0053480E" w:rsidRPr="00A51A7C">
        <w:t>[</w:t>
      </w:r>
      <w:r w:rsidRPr="00A51A7C">
        <w:t>Package Insert</w:t>
      </w:r>
      <w:r w:rsidR="0053480E" w:rsidRPr="00A51A7C">
        <w:t>]</w:t>
      </w:r>
      <w:r w:rsidR="00814AA0" w:rsidRPr="00A51A7C">
        <w:t xml:space="preserve">. </w:t>
      </w:r>
      <w:r w:rsidR="00B9690D" w:rsidRPr="00A51A7C">
        <w:t>Biocompatibles UK Ltd., Surrey, 20</w:t>
      </w:r>
      <w:r w:rsidR="0025578C" w:rsidRPr="00A51A7C">
        <w:t>14</w:t>
      </w:r>
      <w:r w:rsidR="00B9690D" w:rsidRPr="00A51A7C">
        <w:t>.</w:t>
      </w:r>
    </w:p>
    <w:p w:rsidR="00740C39" w:rsidRPr="00A51A7C" w:rsidRDefault="00740C39" w:rsidP="00FF5FAD">
      <w:pPr>
        <w:pStyle w:val="EndNoteBibliography"/>
        <w:spacing w:after="0" w:line="480" w:lineRule="auto"/>
        <w:jc w:val="both"/>
      </w:pPr>
      <w:r w:rsidRPr="00A51A7C">
        <w:t>78.</w:t>
      </w:r>
      <w:r w:rsidRPr="00A51A7C">
        <w:tab/>
        <w:t>SIR-Spheres</w:t>
      </w:r>
      <w:r w:rsidRPr="00A51A7C">
        <w:rPr>
          <w:vertAlign w:val="superscript"/>
        </w:rPr>
        <w:t>®</w:t>
      </w:r>
      <w:r w:rsidR="00814AA0" w:rsidRPr="00A51A7C">
        <w:t>.</w:t>
      </w:r>
      <w:r w:rsidR="00814AA0" w:rsidRPr="00A51A7C">
        <w:rPr>
          <w:i/>
        </w:rPr>
        <w:t xml:space="preserve"> </w:t>
      </w:r>
      <w:r w:rsidR="00814AA0" w:rsidRPr="00A51A7C">
        <w:t xml:space="preserve">[Package Insert]. </w:t>
      </w:r>
      <w:r w:rsidR="005B627C" w:rsidRPr="00A51A7C">
        <w:t>Sirtex Medical Limited</w:t>
      </w:r>
      <w:r w:rsidR="00814AA0" w:rsidRPr="00A51A7C">
        <w:t xml:space="preserve">, </w:t>
      </w:r>
      <w:r w:rsidR="000A6B03" w:rsidRPr="00A51A7C">
        <w:t>North Sydney, 2014</w:t>
      </w:r>
      <w:r w:rsidR="00814AA0" w:rsidRPr="00A51A7C">
        <w:t>.</w:t>
      </w:r>
    </w:p>
    <w:p w:rsidR="00740C39" w:rsidRPr="00A51A7C" w:rsidRDefault="00740C39" w:rsidP="00FF5FAD">
      <w:pPr>
        <w:pStyle w:val="EndNoteBibliography"/>
        <w:spacing w:after="0" w:line="480" w:lineRule="auto"/>
        <w:jc w:val="both"/>
      </w:pPr>
      <w:r w:rsidRPr="00A51A7C">
        <w:t>79.</w:t>
      </w:r>
      <w:r w:rsidRPr="00A51A7C">
        <w:tab/>
      </w:r>
      <w:r w:rsidR="00A85582" w:rsidRPr="00A51A7C">
        <w:t>TheraSphere</w:t>
      </w:r>
      <w:r w:rsidR="00A85582" w:rsidRPr="00A51A7C">
        <w:rPr>
          <w:vertAlign w:val="superscript"/>
        </w:rPr>
        <w:t>®</w:t>
      </w:r>
      <w:r w:rsidR="00A85582" w:rsidRPr="00A51A7C">
        <w:t>. [</w:t>
      </w:r>
      <w:r w:rsidRPr="00A51A7C">
        <w:t>FDA Humanitarian Device Exemption: H980006 Summary of safety and portable benefit</w:t>
      </w:r>
      <w:r w:rsidR="00A85582" w:rsidRPr="00A51A7C">
        <w:t>].</w:t>
      </w:r>
      <w:r w:rsidRPr="00A51A7C">
        <w:t xml:space="preserve"> </w:t>
      </w:r>
      <w:r w:rsidR="00A85582" w:rsidRPr="00A51A7C">
        <w:t xml:space="preserve">Biocompatibles UK Ltd., Surrey, </w:t>
      </w:r>
      <w:r w:rsidRPr="00A51A7C">
        <w:t>1999.</w:t>
      </w:r>
    </w:p>
    <w:p w:rsidR="00740C39" w:rsidRPr="00A51A7C" w:rsidRDefault="00740C39" w:rsidP="00FF5FAD">
      <w:pPr>
        <w:pStyle w:val="EndNoteBibliography"/>
        <w:spacing w:after="0" w:line="480" w:lineRule="auto"/>
        <w:jc w:val="both"/>
      </w:pPr>
      <w:r w:rsidRPr="00A51A7C">
        <w:t>80.</w:t>
      </w:r>
      <w:r w:rsidRPr="00A51A7C">
        <w:tab/>
        <w:t>Martincic, M.; Frontera, C.; Pach, E.; Ballesteros, B.; Tobias, G. Synthesis of Dry Sm</w:t>
      </w:r>
      <w:r w:rsidR="00727286" w:rsidRPr="00A51A7C">
        <w:t>C</w:t>
      </w:r>
      <w:r w:rsidRPr="00A51A7C">
        <w:t>l</w:t>
      </w:r>
      <w:r w:rsidRPr="00A51A7C">
        <w:rPr>
          <w:vertAlign w:val="subscript"/>
        </w:rPr>
        <w:t>3</w:t>
      </w:r>
      <w:r w:rsidRPr="00A51A7C">
        <w:t xml:space="preserve"> from Sm</w:t>
      </w:r>
      <w:r w:rsidRPr="00A51A7C">
        <w:rPr>
          <w:vertAlign w:val="subscript"/>
        </w:rPr>
        <w:t>2</w:t>
      </w:r>
      <w:r w:rsidR="00727286" w:rsidRPr="00A51A7C">
        <w:t>O</w:t>
      </w:r>
      <w:r w:rsidRPr="00A51A7C">
        <w:rPr>
          <w:vertAlign w:val="subscript"/>
        </w:rPr>
        <w:t>3</w:t>
      </w:r>
      <w:r w:rsidRPr="00A51A7C">
        <w:t xml:space="preserve"> Revisited. Implications for the Encapsulation of Samarium Compounds into Carbon Nanotubes. </w:t>
      </w:r>
      <w:r w:rsidRPr="00A51A7C">
        <w:rPr>
          <w:i/>
        </w:rPr>
        <w:t xml:space="preserve">Polyhedron </w:t>
      </w:r>
      <w:r w:rsidRPr="00A51A7C">
        <w:rPr>
          <w:b/>
        </w:rPr>
        <w:t>2016</w:t>
      </w:r>
      <w:r w:rsidRPr="00A51A7C">
        <w:t xml:space="preserve">, </w:t>
      </w:r>
      <w:r w:rsidRPr="00A51A7C">
        <w:rPr>
          <w:i/>
        </w:rPr>
        <w:t>116</w:t>
      </w:r>
      <w:r w:rsidRPr="00A51A7C">
        <w:t>, 116-121.</w:t>
      </w:r>
    </w:p>
    <w:p w:rsidR="00740C39" w:rsidRPr="00A51A7C" w:rsidRDefault="00740C39" w:rsidP="00FF5FAD">
      <w:pPr>
        <w:pStyle w:val="EndNoteBibliography"/>
        <w:spacing w:after="0" w:line="480" w:lineRule="auto"/>
        <w:jc w:val="both"/>
      </w:pPr>
      <w:r w:rsidRPr="00A51A7C">
        <w:lastRenderedPageBreak/>
        <w:t>81.</w:t>
      </w:r>
      <w:r w:rsidRPr="00A51A7C">
        <w:tab/>
        <w:t xml:space="preserve">Sandoval, S.; Kierkowicz, M.; Pach, E.; Ballesteros, B.; Tobias, G. Determination of the Length of Single-Walled Carbon Nanotubes by Scanning Electron Microscopy. </w:t>
      </w:r>
      <w:r w:rsidRPr="00A51A7C">
        <w:rPr>
          <w:i/>
        </w:rPr>
        <w:t xml:space="preserve">MethodsX </w:t>
      </w:r>
      <w:r w:rsidRPr="00A51A7C">
        <w:rPr>
          <w:b/>
        </w:rPr>
        <w:t>2018</w:t>
      </w:r>
      <w:r w:rsidRPr="00A51A7C">
        <w:t xml:space="preserve">, </w:t>
      </w:r>
      <w:r w:rsidRPr="00A51A7C">
        <w:rPr>
          <w:i/>
        </w:rPr>
        <w:t>5</w:t>
      </w:r>
      <w:r w:rsidRPr="00A51A7C">
        <w:t>, 1465-1472.</w:t>
      </w:r>
    </w:p>
    <w:p w:rsidR="00740C39" w:rsidRPr="00A51A7C" w:rsidRDefault="00740C39" w:rsidP="00FF5FAD">
      <w:pPr>
        <w:pStyle w:val="EndNoteBibliography"/>
        <w:spacing w:after="0" w:line="480" w:lineRule="auto"/>
        <w:jc w:val="both"/>
      </w:pPr>
      <w:r w:rsidRPr="00A51A7C">
        <w:t>82.</w:t>
      </w:r>
      <w:r w:rsidRPr="00A51A7C">
        <w:tab/>
        <w:t xml:space="preserve">Šefl, M.; Kyriakou, I.; Emfietzoglou, D. Technical Note: Impact of Cell Repopulation and Radionuclide Uptake Phase on Cell Survival. </w:t>
      </w:r>
      <w:r w:rsidRPr="00A51A7C">
        <w:rPr>
          <w:i/>
        </w:rPr>
        <w:t xml:space="preserve">Med. Phys. </w:t>
      </w:r>
      <w:r w:rsidRPr="00A51A7C">
        <w:rPr>
          <w:b/>
        </w:rPr>
        <w:t>2016</w:t>
      </w:r>
      <w:r w:rsidRPr="00A51A7C">
        <w:t xml:space="preserve">, </w:t>
      </w:r>
      <w:r w:rsidRPr="00A51A7C">
        <w:rPr>
          <w:i/>
        </w:rPr>
        <w:t>43</w:t>
      </w:r>
      <w:r w:rsidRPr="00A51A7C">
        <w:t>, 2715-2720.</w:t>
      </w:r>
    </w:p>
    <w:p w:rsidR="00740C39" w:rsidRPr="00A51A7C" w:rsidRDefault="00740C39" w:rsidP="00FF5FAD">
      <w:pPr>
        <w:pStyle w:val="EndNoteBibliography"/>
        <w:spacing w:after="0" w:line="480" w:lineRule="auto"/>
        <w:jc w:val="both"/>
      </w:pPr>
      <w:r w:rsidRPr="00A51A7C">
        <w:t>83.</w:t>
      </w:r>
      <w:r w:rsidRPr="00A51A7C">
        <w:tab/>
        <w:t xml:space="preserve">Stabin, M. G.; Konijnenberg, M. W. Re-Evaluation of Absorbed Fractions for Photons and Electrons in Spheres of Various Sizes. </w:t>
      </w:r>
      <w:r w:rsidRPr="00A51A7C">
        <w:rPr>
          <w:i/>
        </w:rPr>
        <w:t xml:space="preserve">J. Nucl. Med. </w:t>
      </w:r>
      <w:r w:rsidRPr="00A51A7C">
        <w:rPr>
          <w:b/>
        </w:rPr>
        <w:t>2000</w:t>
      </w:r>
      <w:r w:rsidRPr="00A51A7C">
        <w:t xml:space="preserve">, </w:t>
      </w:r>
      <w:r w:rsidRPr="00A51A7C">
        <w:rPr>
          <w:i/>
        </w:rPr>
        <w:t>41</w:t>
      </w:r>
      <w:r w:rsidRPr="00A51A7C">
        <w:t>, 149-</w:t>
      </w:r>
      <w:r w:rsidR="0035173A" w:rsidRPr="00A51A7C">
        <w:t>1</w:t>
      </w:r>
      <w:r w:rsidRPr="00A51A7C">
        <w:t>60.</w:t>
      </w:r>
    </w:p>
    <w:p w:rsidR="00740C39" w:rsidRPr="00A51A7C" w:rsidRDefault="00740C39" w:rsidP="00FF5FAD">
      <w:pPr>
        <w:pStyle w:val="EndNoteBibliography"/>
        <w:spacing w:after="0" w:line="480" w:lineRule="auto"/>
        <w:jc w:val="both"/>
      </w:pPr>
      <w:r w:rsidRPr="00A51A7C">
        <w:t>84.</w:t>
      </w:r>
      <w:r w:rsidRPr="00A51A7C">
        <w:tab/>
        <w:t xml:space="preserve">Schiller, U.; Hoffmann, W.; Bamberg, M.; Rodemann, H. P. All-Trans-Retinoic Acid Modulates the Radiosensitivity of Proliferating Cells. </w:t>
      </w:r>
      <w:r w:rsidRPr="00A51A7C">
        <w:rPr>
          <w:i/>
        </w:rPr>
        <w:t xml:space="preserve">Int. J. Cancer </w:t>
      </w:r>
      <w:r w:rsidRPr="00A51A7C">
        <w:rPr>
          <w:b/>
        </w:rPr>
        <w:t>1997</w:t>
      </w:r>
      <w:r w:rsidRPr="00A51A7C">
        <w:t xml:space="preserve">, </w:t>
      </w:r>
      <w:r w:rsidRPr="00A51A7C">
        <w:rPr>
          <w:i/>
        </w:rPr>
        <w:t>70</w:t>
      </w:r>
      <w:r w:rsidRPr="00A51A7C">
        <w:t>, 488-</w:t>
      </w:r>
      <w:r w:rsidR="001F4860" w:rsidRPr="00A51A7C">
        <w:t>4</w:t>
      </w:r>
      <w:r w:rsidRPr="00A51A7C">
        <w:t>90.</w:t>
      </w:r>
    </w:p>
    <w:p w:rsidR="00740C39" w:rsidRPr="00A51A7C" w:rsidRDefault="00740C39" w:rsidP="00FF5FAD">
      <w:pPr>
        <w:pStyle w:val="EndNoteBibliography"/>
        <w:spacing w:after="0" w:line="480" w:lineRule="auto"/>
        <w:jc w:val="both"/>
      </w:pPr>
      <w:r w:rsidRPr="00A51A7C">
        <w:t>85.</w:t>
      </w:r>
      <w:r w:rsidRPr="00A51A7C">
        <w:tab/>
        <w:t xml:space="preserve">Chapman, J. </w:t>
      </w:r>
      <w:r w:rsidR="00AF1116" w:rsidRPr="00A51A7C">
        <w:t xml:space="preserve">D.; </w:t>
      </w:r>
      <w:r w:rsidRPr="00A51A7C">
        <w:t>N</w:t>
      </w:r>
      <w:r w:rsidR="00AF1116" w:rsidRPr="00A51A7C">
        <w:t>ahum</w:t>
      </w:r>
      <w:r w:rsidRPr="00A51A7C">
        <w:t>, A.</w:t>
      </w:r>
      <w:r w:rsidR="00AF1116" w:rsidRPr="00A51A7C">
        <w:t xml:space="preserve"> </w:t>
      </w:r>
      <w:r w:rsidRPr="00A51A7C">
        <w:t xml:space="preserve">E. </w:t>
      </w:r>
      <w:r w:rsidRPr="00A51A7C">
        <w:rPr>
          <w:i/>
        </w:rPr>
        <w:t>Radiotherapy Treatment Planning: Linear-Quadratic Radiobiology</w:t>
      </w:r>
      <w:r w:rsidR="00AF1116" w:rsidRPr="00A51A7C">
        <w:t>;</w:t>
      </w:r>
      <w:r w:rsidRPr="00A51A7C">
        <w:t xml:space="preserve"> CRC Press</w:t>
      </w:r>
      <w:r w:rsidR="00AF1116" w:rsidRPr="00A51A7C">
        <w:t>, Taylor &amp; Francis Group: Boca Raton, 2015.</w:t>
      </w:r>
    </w:p>
    <w:p w:rsidR="00740C39" w:rsidRPr="00A51A7C" w:rsidRDefault="00740C39" w:rsidP="00FF5FAD">
      <w:pPr>
        <w:pStyle w:val="EndNoteBibliography"/>
        <w:spacing w:line="480" w:lineRule="auto"/>
        <w:jc w:val="both"/>
      </w:pPr>
      <w:r w:rsidRPr="00A51A7C">
        <w:t>86.</w:t>
      </w:r>
      <w:r w:rsidRPr="00A51A7C">
        <w:tab/>
        <w:t xml:space="preserve">Dale, R. G. Dose-Rate Effects in Targeted Radiotherapy. </w:t>
      </w:r>
      <w:r w:rsidRPr="00A51A7C">
        <w:rPr>
          <w:i/>
        </w:rPr>
        <w:t xml:space="preserve">Phys. Med. Biol. </w:t>
      </w:r>
      <w:r w:rsidRPr="00A51A7C">
        <w:rPr>
          <w:b/>
        </w:rPr>
        <w:t>1996</w:t>
      </w:r>
      <w:r w:rsidRPr="00A51A7C">
        <w:t xml:space="preserve">, </w:t>
      </w:r>
      <w:r w:rsidRPr="00A51A7C">
        <w:rPr>
          <w:i/>
        </w:rPr>
        <w:t>41</w:t>
      </w:r>
      <w:r w:rsidRPr="00A51A7C">
        <w:t>, 1871-</w:t>
      </w:r>
      <w:r w:rsidR="0035173A" w:rsidRPr="00A51A7C">
        <w:t>18</w:t>
      </w:r>
      <w:r w:rsidRPr="00A51A7C">
        <w:t>84.</w:t>
      </w:r>
    </w:p>
    <w:p w:rsidR="00DE4926" w:rsidRPr="00A51A7C" w:rsidRDefault="00DE4926" w:rsidP="00FF5FAD">
      <w:pPr>
        <w:pStyle w:val="BHBriefs"/>
        <w:spacing w:after="240"/>
        <w:rPr>
          <w:rFonts w:cs="Times"/>
        </w:rPr>
      </w:pPr>
    </w:p>
    <w:p w:rsidR="00EF0E17" w:rsidRPr="00A51A7C" w:rsidRDefault="00EF0E17" w:rsidP="00FF5FAD">
      <w:pPr>
        <w:pStyle w:val="BHBriefs"/>
        <w:spacing w:after="240"/>
        <w:rPr>
          <w:rFonts w:cs="Times"/>
        </w:rPr>
      </w:pPr>
    </w:p>
    <w:p w:rsidR="00003109" w:rsidRPr="00A51A7C" w:rsidRDefault="00003109" w:rsidP="00EF0E17">
      <w:pPr>
        <w:pStyle w:val="TAMainText"/>
        <w:rPr>
          <w:rFonts w:cs="Times"/>
        </w:rPr>
      </w:pPr>
      <w:r w:rsidRPr="00A51A7C">
        <w:rPr>
          <w:rFonts w:cs="Times"/>
        </w:rPr>
        <w:t>TABLE OF CONTENTS</w:t>
      </w:r>
    </w:p>
    <w:p w:rsidR="00003109" w:rsidRPr="007D3CE6" w:rsidRDefault="00D03FBD" w:rsidP="00EF0E17">
      <w:pPr>
        <w:pStyle w:val="BHBriefs"/>
        <w:spacing w:after="240"/>
        <w:jc w:val="left"/>
        <w:rPr>
          <w:rFonts w:cs="Times"/>
        </w:rPr>
      </w:pPr>
      <w:r w:rsidRPr="00A51A7C">
        <w:rPr>
          <w:rFonts w:cs="Times"/>
          <w:noProof/>
          <w:lang w:val="es-ES_tradnl" w:eastAsia="es-ES_tradnl"/>
        </w:rPr>
        <w:drawing>
          <wp:inline distT="0" distB="0" distL="0" distR="0">
            <wp:extent cx="3240000" cy="1440461"/>
            <wp:effectExtent l="19050" t="0" r="0" b="0"/>
            <wp:docPr id="11" name="Imagen 2" descr="D:\Articles meus\152Sm\1-Khuloud\Submitted\4-ACSNano\Wang-ACSNano-TO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rticles meus\152Sm\1-Khuloud\Submitted\4-ACSNano\Wang-ACSNano-TOC.tif"/>
                    <pic:cNvPicPr>
                      <a:picLocks noChangeAspect="1" noChangeArrowheads="1"/>
                    </pic:cNvPicPr>
                  </pic:nvPicPr>
                  <pic:blipFill>
                    <a:blip r:embed="rId68" cstate="print"/>
                    <a:srcRect/>
                    <a:stretch>
                      <a:fillRect/>
                    </a:stretch>
                  </pic:blipFill>
                  <pic:spPr bwMode="auto">
                    <a:xfrm>
                      <a:off x="0" y="0"/>
                      <a:ext cx="3240000" cy="1440461"/>
                    </a:xfrm>
                    <a:prstGeom prst="rect">
                      <a:avLst/>
                    </a:prstGeom>
                    <a:noFill/>
                    <a:ln w="9525">
                      <a:noFill/>
                      <a:miter lim="800000"/>
                      <a:headEnd/>
                      <a:tailEnd/>
                    </a:ln>
                  </pic:spPr>
                </pic:pic>
              </a:graphicData>
            </a:graphic>
          </wp:inline>
        </w:drawing>
      </w:r>
    </w:p>
    <w:p w:rsidR="00003109" w:rsidRPr="007D3CE6" w:rsidRDefault="00003109" w:rsidP="00EF0E17">
      <w:pPr>
        <w:pStyle w:val="BHBriefs"/>
        <w:spacing w:after="240"/>
        <w:jc w:val="left"/>
        <w:rPr>
          <w:rFonts w:cs="Times"/>
        </w:rPr>
      </w:pPr>
    </w:p>
    <w:sectPr w:rsidR="00003109" w:rsidRPr="007D3CE6" w:rsidSect="000B5610">
      <w:footerReference w:type="even" r:id="rId69"/>
      <w:footerReference w:type="default" r:id="rId70"/>
      <w:type w:val="continuous"/>
      <w:pgSz w:w="12240" w:h="15840"/>
      <w:pgMar w:top="1440" w:right="1440" w:bottom="1440" w:left="1440" w:header="0" w:footer="0" w:gutter="0"/>
      <w:cols w:space="475"/>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F1535" w:rsidRDefault="00FF1535">
      <w:r>
        <w:separator/>
      </w:r>
    </w:p>
  </w:endnote>
  <w:endnote w:type="continuationSeparator" w:id="0">
    <w:p w:rsidR="00FF1535" w:rsidRDefault="00FF15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w:panose1 w:val="02020603050405020304"/>
    <w:charset w:val="00"/>
    <w:family w:val="roman"/>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ew York">
    <w:altName w:val="Times New Roman"/>
    <w:panose1 w:val="020405030605060203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no Pro">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2EFF" w:usb1="C000247B" w:usb2="00000009" w:usb3="00000000" w:csb0="000001FF" w:csb1="00000000"/>
  </w:font>
  <w:font w:name="+mn-ea">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5FAD" w:rsidRDefault="006C05F4">
    <w:pPr>
      <w:pStyle w:val="Piedepgina"/>
      <w:framePr w:wrap="around" w:vAnchor="text" w:hAnchor="margin" w:xAlign="right" w:y="1"/>
      <w:rPr>
        <w:rStyle w:val="Nmerodepgina"/>
      </w:rPr>
    </w:pPr>
    <w:r>
      <w:rPr>
        <w:rStyle w:val="Nmerodepgina"/>
      </w:rPr>
      <w:fldChar w:fldCharType="begin"/>
    </w:r>
    <w:r w:rsidR="00FF5FAD">
      <w:rPr>
        <w:rStyle w:val="Nmerodepgina"/>
      </w:rPr>
      <w:instrText xml:space="preserve">PAGE  </w:instrText>
    </w:r>
    <w:r>
      <w:rPr>
        <w:rStyle w:val="Nmerodepgina"/>
      </w:rPr>
      <w:fldChar w:fldCharType="separate"/>
    </w:r>
    <w:r w:rsidR="00FF5FAD">
      <w:rPr>
        <w:rStyle w:val="Nmerodepgina"/>
        <w:noProof/>
      </w:rPr>
      <w:t>1</w:t>
    </w:r>
    <w:r>
      <w:rPr>
        <w:rStyle w:val="Nmerodepgina"/>
      </w:rPr>
      <w:fldChar w:fldCharType="end"/>
    </w:r>
  </w:p>
  <w:p w:rsidR="00FF5FAD" w:rsidRDefault="00FF5FAD">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5FAD" w:rsidRDefault="006C05F4">
    <w:pPr>
      <w:pStyle w:val="Piedepgina"/>
      <w:framePr w:wrap="around" w:vAnchor="text" w:hAnchor="margin" w:xAlign="right" w:y="1"/>
      <w:rPr>
        <w:rStyle w:val="Nmerodepgina"/>
      </w:rPr>
    </w:pPr>
    <w:r>
      <w:rPr>
        <w:rStyle w:val="Nmerodepgina"/>
      </w:rPr>
      <w:fldChar w:fldCharType="begin"/>
    </w:r>
    <w:r w:rsidR="00FF5FAD">
      <w:rPr>
        <w:rStyle w:val="Nmerodepgina"/>
      </w:rPr>
      <w:instrText xml:space="preserve">PAGE  </w:instrText>
    </w:r>
    <w:r>
      <w:rPr>
        <w:rStyle w:val="Nmerodepgina"/>
      </w:rPr>
      <w:fldChar w:fldCharType="separate"/>
    </w:r>
    <w:r w:rsidR="00B27A18">
      <w:rPr>
        <w:rStyle w:val="Nmerodepgina"/>
        <w:noProof/>
      </w:rPr>
      <w:t>26</w:t>
    </w:r>
    <w:r>
      <w:rPr>
        <w:rStyle w:val="Nmerodepgina"/>
      </w:rPr>
      <w:fldChar w:fldCharType="end"/>
    </w:r>
  </w:p>
  <w:p w:rsidR="00FF5FAD" w:rsidRDefault="00FF5FAD">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F1535" w:rsidRDefault="00FF1535">
      <w:r>
        <w:separator/>
      </w:r>
    </w:p>
  </w:footnote>
  <w:footnote w:type="continuationSeparator" w:id="0">
    <w:p w:rsidR="00FF1535" w:rsidRDefault="00FF153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4647C33"/>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B0D4588"/>
    <w:multiLevelType w:val="hybridMultilevel"/>
    <w:tmpl w:val="56DCB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E01202A"/>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EC86632"/>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5" w15:restartNumberingAfterBreak="0">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6" w15:restartNumberingAfterBreak="0">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7" w15:restartNumberingAfterBreak="0">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8" w15:restartNumberingAfterBreak="0">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9" w15:restartNumberingAfterBreak="0">
    <w:nsid w:val="41DB2E3C"/>
    <w:multiLevelType w:val="singleLevel"/>
    <w:tmpl w:val="E5E28CB0"/>
    <w:lvl w:ilvl="0">
      <w:start w:val="1"/>
      <w:numFmt w:val="lowerLetter"/>
      <w:lvlText w:val="%1."/>
      <w:lvlJc w:val="left"/>
      <w:pPr>
        <w:tabs>
          <w:tab w:val="num" w:pos="1080"/>
        </w:tabs>
        <w:ind w:left="1080" w:hanging="360"/>
      </w:pPr>
      <w:rPr>
        <w:rFonts w:hint="default"/>
      </w:rPr>
    </w:lvl>
  </w:abstractNum>
  <w:num w:numId="1">
    <w:abstractNumId w:val="8"/>
  </w:num>
  <w:num w:numId="2">
    <w:abstractNumId w:val="6"/>
  </w:num>
  <w:num w:numId="3">
    <w:abstractNumId w:val="9"/>
  </w:num>
  <w:num w:numId="4">
    <w:abstractNumId w:val="7"/>
  </w:num>
  <w:num w:numId="5">
    <w:abstractNumId w:val="5"/>
  </w:num>
  <w:num w:numId="6">
    <w:abstractNumId w:val="4"/>
  </w:num>
  <w:num w:numId="7">
    <w:abstractNumId w:val="3"/>
  </w:num>
  <w:num w:numId="8">
    <w:abstractNumId w:val="1"/>
  </w:num>
  <w:num w:numId="9">
    <w:abstractNumId w:val="0"/>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3"/>
  <w:bordersDoNotSurroundHeader/>
  <w:bordersDoNotSurroundFooter/>
  <w:activeWritingStyle w:appName="MSWord" w:lang="es-ES_tradnl" w:vendorID="64" w:dllVersion="131078" w:nlCheck="1" w:checkStyle="0"/>
  <w:activeWritingStyle w:appName="MSWord" w:lang="en-US" w:vendorID="64" w:dllVersion="131078" w:nlCheck="1" w:checkStyle="1"/>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ACS Nano&lt;/Style&gt;&lt;LeftDelim&gt;{&lt;/LeftDelim&gt;&lt;RightDelim&gt;}&lt;/RightDelim&gt;&lt;FontName&gt;Times&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wpfrwfas52ztoe0zdnpa2tbw0rxwfe9d0sw&quot;&gt;Sm-CNT&lt;record-ids&gt;&lt;item&gt;2&lt;/item&gt;&lt;item&gt;4&lt;/item&gt;&lt;item&gt;5&lt;/item&gt;&lt;item&gt;30&lt;/item&gt;&lt;item&gt;32&lt;/item&gt;&lt;item&gt;33&lt;/item&gt;&lt;item&gt;34&lt;/item&gt;&lt;item&gt;35&lt;/item&gt;&lt;item&gt;36&lt;/item&gt;&lt;item&gt;38&lt;/item&gt;&lt;item&gt;43&lt;/item&gt;&lt;item&gt;47&lt;/item&gt;&lt;item&gt;48&lt;/item&gt;&lt;item&gt;49&lt;/item&gt;&lt;item&gt;51&lt;/item&gt;&lt;item&gt;52&lt;/item&gt;&lt;item&gt;53&lt;/item&gt;&lt;item&gt;56&lt;/item&gt;&lt;item&gt;60&lt;/item&gt;&lt;item&gt;61&lt;/item&gt;&lt;item&gt;62&lt;/item&gt;&lt;item&gt;63&lt;/item&gt;&lt;item&gt;64&lt;/item&gt;&lt;item&gt;71&lt;/item&gt;&lt;item&gt;73&lt;/item&gt;&lt;item&gt;76&lt;/item&gt;&lt;item&gt;77&lt;/item&gt;&lt;item&gt;78&lt;/item&gt;&lt;item&gt;88&lt;/item&gt;&lt;item&gt;89&lt;/item&gt;&lt;item&gt;90&lt;/item&gt;&lt;item&gt;91&lt;/item&gt;&lt;item&gt;92&lt;/item&gt;&lt;item&gt;95&lt;/item&gt;&lt;item&gt;97&lt;/item&gt;&lt;item&gt;98&lt;/item&gt;&lt;item&gt;99&lt;/item&gt;&lt;item&gt;100&lt;/item&gt;&lt;item&gt;114&lt;/item&gt;&lt;item&gt;116&lt;/item&gt;&lt;item&gt;117&lt;/item&gt;&lt;item&gt;118&lt;/item&gt;&lt;item&gt;119&lt;/item&gt;&lt;item&gt;120&lt;/item&gt;&lt;item&gt;122&lt;/item&gt;&lt;item&gt;123&lt;/item&gt;&lt;item&gt;124&lt;/item&gt;&lt;item&gt;125&lt;/item&gt;&lt;item&gt;126&lt;/item&gt;&lt;item&gt;127&lt;/item&gt;&lt;item&gt;128&lt;/item&gt;&lt;item&gt;129&lt;/item&gt;&lt;item&gt;130&lt;/item&gt;&lt;item&gt;131&lt;/item&gt;&lt;item&gt;132&lt;/item&gt;&lt;item&gt;133&lt;/item&gt;&lt;item&gt;134&lt;/item&gt;&lt;item&gt;136&lt;/item&gt;&lt;item&gt;138&lt;/item&gt;&lt;item&gt;139&lt;/item&gt;&lt;item&gt;140&lt;/item&gt;&lt;item&gt;142&lt;/item&gt;&lt;item&gt;145&lt;/item&gt;&lt;item&gt;146&lt;/item&gt;&lt;item&gt;147&lt;/item&gt;&lt;item&gt;148&lt;/item&gt;&lt;item&gt;149&lt;/item&gt;&lt;item&gt;150&lt;/item&gt;&lt;item&gt;151&lt;/item&gt;&lt;item&gt;152&lt;/item&gt;&lt;item&gt;153&lt;/item&gt;&lt;item&gt;154&lt;/item&gt;&lt;item&gt;155&lt;/item&gt;&lt;item&gt;156&lt;/item&gt;&lt;item&gt;157&lt;/item&gt;&lt;item&gt;158&lt;/item&gt;&lt;item&gt;159&lt;/item&gt;&lt;item&gt;160&lt;/item&gt;&lt;item&gt;162&lt;/item&gt;&lt;item&gt;163&lt;/item&gt;&lt;item&gt;164&lt;/item&gt;&lt;item&gt;166&lt;/item&gt;&lt;item&gt;167&lt;/item&gt;&lt;item&gt;168&lt;/item&gt;&lt;item&gt;169&lt;/item&gt;&lt;item&gt;170&lt;/item&gt;&lt;/record-ids&gt;&lt;/item&gt;&lt;/Libraries&gt;"/>
  </w:docVars>
  <w:rsids>
    <w:rsidRoot w:val="00C70790"/>
    <w:rsid w:val="000002F2"/>
    <w:rsid w:val="00003109"/>
    <w:rsid w:val="00005E55"/>
    <w:rsid w:val="000066F9"/>
    <w:rsid w:val="00023E06"/>
    <w:rsid w:val="000272BB"/>
    <w:rsid w:val="000332D1"/>
    <w:rsid w:val="00040551"/>
    <w:rsid w:val="0005660F"/>
    <w:rsid w:val="00057BD2"/>
    <w:rsid w:val="00060548"/>
    <w:rsid w:val="000702AD"/>
    <w:rsid w:val="00083FE5"/>
    <w:rsid w:val="00095005"/>
    <w:rsid w:val="000A6B03"/>
    <w:rsid w:val="000B2EEB"/>
    <w:rsid w:val="000B54A2"/>
    <w:rsid w:val="000B5610"/>
    <w:rsid w:val="000C05CC"/>
    <w:rsid w:val="001114DD"/>
    <w:rsid w:val="00123F83"/>
    <w:rsid w:val="001706C8"/>
    <w:rsid w:val="00180AAC"/>
    <w:rsid w:val="001900C4"/>
    <w:rsid w:val="00195ACA"/>
    <w:rsid w:val="001A0B15"/>
    <w:rsid w:val="001A1326"/>
    <w:rsid w:val="001A1654"/>
    <w:rsid w:val="001A7A90"/>
    <w:rsid w:val="001B1BEF"/>
    <w:rsid w:val="001C758A"/>
    <w:rsid w:val="001E5F9D"/>
    <w:rsid w:val="001F0965"/>
    <w:rsid w:val="001F4860"/>
    <w:rsid w:val="001F516C"/>
    <w:rsid w:val="00212B1D"/>
    <w:rsid w:val="002154A8"/>
    <w:rsid w:val="002246F8"/>
    <w:rsid w:val="00240C61"/>
    <w:rsid w:val="002415A1"/>
    <w:rsid w:val="002467DD"/>
    <w:rsid w:val="0025578C"/>
    <w:rsid w:val="00257DD5"/>
    <w:rsid w:val="00271A02"/>
    <w:rsid w:val="002A2220"/>
    <w:rsid w:val="002A7493"/>
    <w:rsid w:val="002B07B3"/>
    <w:rsid w:val="002C3431"/>
    <w:rsid w:val="002E0B28"/>
    <w:rsid w:val="002E0E8C"/>
    <w:rsid w:val="0031077D"/>
    <w:rsid w:val="0031373B"/>
    <w:rsid w:val="00317E18"/>
    <w:rsid w:val="00320F52"/>
    <w:rsid w:val="00322FA3"/>
    <w:rsid w:val="00324128"/>
    <w:rsid w:val="0032572B"/>
    <w:rsid w:val="003323FE"/>
    <w:rsid w:val="003339F7"/>
    <w:rsid w:val="00337337"/>
    <w:rsid w:val="00343557"/>
    <w:rsid w:val="0035173A"/>
    <w:rsid w:val="0036077A"/>
    <w:rsid w:val="00361E35"/>
    <w:rsid w:val="003664E9"/>
    <w:rsid w:val="003679A1"/>
    <w:rsid w:val="0039174E"/>
    <w:rsid w:val="0039222A"/>
    <w:rsid w:val="0039787E"/>
    <w:rsid w:val="003A40FF"/>
    <w:rsid w:val="003A42F0"/>
    <w:rsid w:val="003B2E27"/>
    <w:rsid w:val="003B4866"/>
    <w:rsid w:val="003B4AF3"/>
    <w:rsid w:val="003D1F48"/>
    <w:rsid w:val="003E076B"/>
    <w:rsid w:val="003E1F76"/>
    <w:rsid w:val="003E4CED"/>
    <w:rsid w:val="00407C13"/>
    <w:rsid w:val="00411D94"/>
    <w:rsid w:val="00412E81"/>
    <w:rsid w:val="00431A7A"/>
    <w:rsid w:val="00451EEC"/>
    <w:rsid w:val="00452830"/>
    <w:rsid w:val="00457F9B"/>
    <w:rsid w:val="004705FB"/>
    <w:rsid w:val="00472A42"/>
    <w:rsid w:val="00475FD2"/>
    <w:rsid w:val="00480243"/>
    <w:rsid w:val="00482D9C"/>
    <w:rsid w:val="00487FE3"/>
    <w:rsid w:val="00491916"/>
    <w:rsid w:val="004B33A7"/>
    <w:rsid w:val="004C533E"/>
    <w:rsid w:val="004D6769"/>
    <w:rsid w:val="004E283C"/>
    <w:rsid w:val="004E7185"/>
    <w:rsid w:val="004F6AB7"/>
    <w:rsid w:val="00510D9F"/>
    <w:rsid w:val="0053480E"/>
    <w:rsid w:val="00536159"/>
    <w:rsid w:val="005553EF"/>
    <w:rsid w:val="005564B4"/>
    <w:rsid w:val="00564BE5"/>
    <w:rsid w:val="00567E81"/>
    <w:rsid w:val="00580C3C"/>
    <w:rsid w:val="00591A57"/>
    <w:rsid w:val="005B03F3"/>
    <w:rsid w:val="005B627C"/>
    <w:rsid w:val="005C6C52"/>
    <w:rsid w:val="005D0C10"/>
    <w:rsid w:val="005D2681"/>
    <w:rsid w:val="005D3CC7"/>
    <w:rsid w:val="005D3FCB"/>
    <w:rsid w:val="005E4C02"/>
    <w:rsid w:val="005F744A"/>
    <w:rsid w:val="00633BE7"/>
    <w:rsid w:val="006455A5"/>
    <w:rsid w:val="00667C01"/>
    <w:rsid w:val="00677F88"/>
    <w:rsid w:val="006828D9"/>
    <w:rsid w:val="00683131"/>
    <w:rsid w:val="00691523"/>
    <w:rsid w:val="006A3E34"/>
    <w:rsid w:val="006B19FB"/>
    <w:rsid w:val="006B2581"/>
    <w:rsid w:val="006C05F4"/>
    <w:rsid w:val="006C3AC3"/>
    <w:rsid w:val="007000D9"/>
    <w:rsid w:val="00700DC7"/>
    <w:rsid w:val="00704861"/>
    <w:rsid w:val="00723F91"/>
    <w:rsid w:val="00724F3A"/>
    <w:rsid w:val="00727286"/>
    <w:rsid w:val="00727D92"/>
    <w:rsid w:val="00734ACC"/>
    <w:rsid w:val="00740C39"/>
    <w:rsid w:val="00747701"/>
    <w:rsid w:val="00754B9E"/>
    <w:rsid w:val="00757614"/>
    <w:rsid w:val="00760534"/>
    <w:rsid w:val="00762645"/>
    <w:rsid w:val="007629D3"/>
    <w:rsid w:val="00793926"/>
    <w:rsid w:val="00794616"/>
    <w:rsid w:val="007A11AD"/>
    <w:rsid w:val="007A6A98"/>
    <w:rsid w:val="007B5873"/>
    <w:rsid w:val="007C0038"/>
    <w:rsid w:val="007C0F19"/>
    <w:rsid w:val="007D3CE6"/>
    <w:rsid w:val="007F55F8"/>
    <w:rsid w:val="008047DE"/>
    <w:rsid w:val="00812F09"/>
    <w:rsid w:val="008143A4"/>
    <w:rsid w:val="00814AA0"/>
    <w:rsid w:val="008329C1"/>
    <w:rsid w:val="00833A65"/>
    <w:rsid w:val="00835880"/>
    <w:rsid w:val="008371F2"/>
    <w:rsid w:val="00853E1B"/>
    <w:rsid w:val="008633FA"/>
    <w:rsid w:val="008655C0"/>
    <w:rsid w:val="0087072D"/>
    <w:rsid w:val="00871215"/>
    <w:rsid w:val="00873B91"/>
    <w:rsid w:val="0087634E"/>
    <w:rsid w:val="00882812"/>
    <w:rsid w:val="008A758C"/>
    <w:rsid w:val="008D30F9"/>
    <w:rsid w:val="008D53B2"/>
    <w:rsid w:val="008D6F3B"/>
    <w:rsid w:val="008E09C9"/>
    <w:rsid w:val="00905DA9"/>
    <w:rsid w:val="00912169"/>
    <w:rsid w:val="0092037A"/>
    <w:rsid w:val="009234E9"/>
    <w:rsid w:val="009246AD"/>
    <w:rsid w:val="0095785B"/>
    <w:rsid w:val="009844D8"/>
    <w:rsid w:val="009A7EE3"/>
    <w:rsid w:val="009B1B49"/>
    <w:rsid w:val="009B61E2"/>
    <w:rsid w:val="009E5C4D"/>
    <w:rsid w:val="009F2E7E"/>
    <w:rsid w:val="00A02D62"/>
    <w:rsid w:val="00A1146E"/>
    <w:rsid w:val="00A20EB5"/>
    <w:rsid w:val="00A2310B"/>
    <w:rsid w:val="00A4168A"/>
    <w:rsid w:val="00A42D40"/>
    <w:rsid w:val="00A51A7C"/>
    <w:rsid w:val="00A56061"/>
    <w:rsid w:val="00A7020E"/>
    <w:rsid w:val="00A71667"/>
    <w:rsid w:val="00A740D5"/>
    <w:rsid w:val="00A764EF"/>
    <w:rsid w:val="00A85582"/>
    <w:rsid w:val="00A876AC"/>
    <w:rsid w:val="00A93365"/>
    <w:rsid w:val="00AA065B"/>
    <w:rsid w:val="00AA1829"/>
    <w:rsid w:val="00AB34C5"/>
    <w:rsid w:val="00AC6707"/>
    <w:rsid w:val="00AF1116"/>
    <w:rsid w:val="00AF19C6"/>
    <w:rsid w:val="00AF1BBA"/>
    <w:rsid w:val="00AF4F6D"/>
    <w:rsid w:val="00AF770C"/>
    <w:rsid w:val="00AF7F6A"/>
    <w:rsid w:val="00B05A88"/>
    <w:rsid w:val="00B07ACC"/>
    <w:rsid w:val="00B2084B"/>
    <w:rsid w:val="00B27A18"/>
    <w:rsid w:val="00B42E83"/>
    <w:rsid w:val="00B44641"/>
    <w:rsid w:val="00B5386B"/>
    <w:rsid w:val="00B54726"/>
    <w:rsid w:val="00B5678C"/>
    <w:rsid w:val="00B65BF3"/>
    <w:rsid w:val="00B71D00"/>
    <w:rsid w:val="00B72755"/>
    <w:rsid w:val="00B741AC"/>
    <w:rsid w:val="00B7618D"/>
    <w:rsid w:val="00B9690D"/>
    <w:rsid w:val="00B97AAF"/>
    <w:rsid w:val="00BB4403"/>
    <w:rsid w:val="00BD2C44"/>
    <w:rsid w:val="00BF798D"/>
    <w:rsid w:val="00C10EE0"/>
    <w:rsid w:val="00C12556"/>
    <w:rsid w:val="00C23F80"/>
    <w:rsid w:val="00C32012"/>
    <w:rsid w:val="00C4476B"/>
    <w:rsid w:val="00C6170A"/>
    <w:rsid w:val="00C647D4"/>
    <w:rsid w:val="00C672E9"/>
    <w:rsid w:val="00C70790"/>
    <w:rsid w:val="00CC124D"/>
    <w:rsid w:val="00D03FBD"/>
    <w:rsid w:val="00D0582C"/>
    <w:rsid w:val="00D070B7"/>
    <w:rsid w:val="00D2330C"/>
    <w:rsid w:val="00D26906"/>
    <w:rsid w:val="00D318E5"/>
    <w:rsid w:val="00D32E24"/>
    <w:rsid w:val="00D33B6D"/>
    <w:rsid w:val="00D4728F"/>
    <w:rsid w:val="00D4740E"/>
    <w:rsid w:val="00D658CB"/>
    <w:rsid w:val="00D729B1"/>
    <w:rsid w:val="00D807B4"/>
    <w:rsid w:val="00D8285F"/>
    <w:rsid w:val="00D84AE0"/>
    <w:rsid w:val="00DB1039"/>
    <w:rsid w:val="00DB1581"/>
    <w:rsid w:val="00DC012D"/>
    <w:rsid w:val="00DC4522"/>
    <w:rsid w:val="00DD6DBB"/>
    <w:rsid w:val="00DE4926"/>
    <w:rsid w:val="00DF2F9D"/>
    <w:rsid w:val="00DF521C"/>
    <w:rsid w:val="00E074F2"/>
    <w:rsid w:val="00E26378"/>
    <w:rsid w:val="00E263E6"/>
    <w:rsid w:val="00E41D83"/>
    <w:rsid w:val="00E63F64"/>
    <w:rsid w:val="00E66F90"/>
    <w:rsid w:val="00E7443D"/>
    <w:rsid w:val="00E84CC6"/>
    <w:rsid w:val="00E91482"/>
    <w:rsid w:val="00E96302"/>
    <w:rsid w:val="00EB2A8C"/>
    <w:rsid w:val="00ED79BE"/>
    <w:rsid w:val="00EE5E0D"/>
    <w:rsid w:val="00EF0E17"/>
    <w:rsid w:val="00F11192"/>
    <w:rsid w:val="00F129DA"/>
    <w:rsid w:val="00F134F5"/>
    <w:rsid w:val="00F203A6"/>
    <w:rsid w:val="00F20E49"/>
    <w:rsid w:val="00F212A4"/>
    <w:rsid w:val="00F23634"/>
    <w:rsid w:val="00F34860"/>
    <w:rsid w:val="00F45651"/>
    <w:rsid w:val="00F47B85"/>
    <w:rsid w:val="00F50927"/>
    <w:rsid w:val="00F52EFD"/>
    <w:rsid w:val="00F54BDD"/>
    <w:rsid w:val="00F5645C"/>
    <w:rsid w:val="00FC2CD4"/>
    <w:rsid w:val="00FD0477"/>
    <w:rsid w:val="00FD2625"/>
    <w:rsid w:val="00FE306C"/>
    <w:rsid w:val="00FE6219"/>
    <w:rsid w:val="00FE6A63"/>
    <w:rsid w:val="00FE7668"/>
    <w:rsid w:val="00FF1535"/>
    <w:rsid w:val="00FF2D4B"/>
    <w:rsid w:val="00FF5FA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1E0E6BA"/>
  <w15:docId w15:val="{D082A1A0-3AE7-4D19-9491-10037E6322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New York" w:eastAsia="Times New Roman" w:hAnsi="New York"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5386B"/>
    <w:pPr>
      <w:spacing w:after="200"/>
      <w:jc w:val="both"/>
    </w:pPr>
    <w:rPr>
      <w:rFonts w:ascii="Times" w:hAnsi="Times"/>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visitado">
    <w:name w:val="FollowedHyperlink"/>
    <w:rsid w:val="00B5386B"/>
    <w:rPr>
      <w:color w:val="800080"/>
      <w:u w:val="single"/>
    </w:rPr>
  </w:style>
  <w:style w:type="paragraph" w:styleId="Textoindependiente">
    <w:name w:val="Body Text"/>
    <w:basedOn w:val="Normal"/>
    <w:rsid w:val="00B5386B"/>
    <w:pPr>
      <w:jc w:val="center"/>
    </w:pPr>
    <w:rPr>
      <w:b/>
      <w:sz w:val="40"/>
    </w:rPr>
  </w:style>
  <w:style w:type="paragraph" w:styleId="Textonotapie">
    <w:name w:val="footnote text"/>
    <w:basedOn w:val="Normal"/>
    <w:next w:val="TFReferencesSection"/>
    <w:semiHidden/>
    <w:rsid w:val="00B5386B"/>
  </w:style>
  <w:style w:type="paragraph" w:customStyle="1" w:styleId="TFReferencesSection">
    <w:name w:val="TF_References_Section"/>
    <w:basedOn w:val="Normal"/>
    <w:rsid w:val="00B5386B"/>
    <w:pPr>
      <w:spacing w:line="480" w:lineRule="auto"/>
      <w:ind w:firstLine="187"/>
    </w:pPr>
  </w:style>
  <w:style w:type="paragraph" w:customStyle="1" w:styleId="TAMainText">
    <w:name w:val="TA_Main_Text"/>
    <w:basedOn w:val="Normal"/>
    <w:link w:val="TAMainTextCar"/>
    <w:rsid w:val="00B5386B"/>
    <w:pPr>
      <w:spacing w:after="0" w:line="480" w:lineRule="auto"/>
      <w:ind w:firstLine="202"/>
    </w:pPr>
  </w:style>
  <w:style w:type="paragraph" w:customStyle="1" w:styleId="BATitle">
    <w:name w:val="BA_Title"/>
    <w:basedOn w:val="Normal"/>
    <w:next w:val="BBAuthorName"/>
    <w:rsid w:val="00B5386B"/>
    <w:pPr>
      <w:spacing w:before="720" w:after="360" w:line="480" w:lineRule="auto"/>
      <w:jc w:val="center"/>
    </w:pPr>
    <w:rPr>
      <w:rFonts w:ascii="Times New Roman" w:hAnsi="Times New Roman"/>
      <w:sz w:val="44"/>
    </w:rPr>
  </w:style>
  <w:style w:type="paragraph" w:customStyle="1" w:styleId="BBAuthorName">
    <w:name w:val="BB_Author_Name"/>
    <w:basedOn w:val="Normal"/>
    <w:next w:val="BCAuthorAddress"/>
    <w:rsid w:val="00B5386B"/>
    <w:pPr>
      <w:spacing w:after="240" w:line="480" w:lineRule="auto"/>
      <w:jc w:val="center"/>
    </w:pPr>
    <w:rPr>
      <w:i/>
    </w:rPr>
  </w:style>
  <w:style w:type="paragraph" w:customStyle="1" w:styleId="BCAuthorAddress">
    <w:name w:val="BC_Author_Address"/>
    <w:basedOn w:val="Normal"/>
    <w:next w:val="BIEmailAddress"/>
    <w:rsid w:val="00B5386B"/>
    <w:pPr>
      <w:spacing w:after="240" w:line="480" w:lineRule="auto"/>
      <w:jc w:val="center"/>
    </w:pPr>
  </w:style>
  <w:style w:type="paragraph" w:customStyle="1" w:styleId="BIEmailAddress">
    <w:name w:val="BI_Email_Address"/>
    <w:basedOn w:val="Normal"/>
    <w:next w:val="AIReceivedDate"/>
    <w:rsid w:val="00B5386B"/>
    <w:pPr>
      <w:spacing w:line="480" w:lineRule="auto"/>
    </w:pPr>
  </w:style>
  <w:style w:type="paragraph" w:customStyle="1" w:styleId="AIReceivedDate">
    <w:name w:val="AI_Received_Date"/>
    <w:basedOn w:val="Normal"/>
    <w:next w:val="BDAbstract"/>
    <w:rsid w:val="00B5386B"/>
    <w:pPr>
      <w:spacing w:after="240" w:line="480" w:lineRule="auto"/>
    </w:pPr>
    <w:rPr>
      <w:b/>
    </w:rPr>
  </w:style>
  <w:style w:type="paragraph" w:customStyle="1" w:styleId="BDAbstract">
    <w:name w:val="BD_Abstract"/>
    <w:basedOn w:val="Normal"/>
    <w:next w:val="TAMainText"/>
    <w:rsid w:val="00B5386B"/>
    <w:pPr>
      <w:spacing w:before="360" w:after="360" w:line="480" w:lineRule="auto"/>
    </w:pPr>
  </w:style>
  <w:style w:type="paragraph" w:customStyle="1" w:styleId="TDAcknowledgments">
    <w:name w:val="TD_Acknowledgments"/>
    <w:basedOn w:val="Normal"/>
    <w:next w:val="Normal"/>
    <w:rsid w:val="00B5386B"/>
    <w:pPr>
      <w:spacing w:before="200" w:line="480" w:lineRule="auto"/>
      <w:ind w:firstLine="202"/>
    </w:pPr>
  </w:style>
  <w:style w:type="paragraph" w:customStyle="1" w:styleId="TESupportingInformation">
    <w:name w:val="TE_Supporting_Information"/>
    <w:basedOn w:val="Normal"/>
    <w:next w:val="Normal"/>
    <w:rsid w:val="00B5386B"/>
    <w:pPr>
      <w:spacing w:line="480" w:lineRule="auto"/>
      <w:ind w:firstLine="187"/>
    </w:pPr>
  </w:style>
  <w:style w:type="paragraph" w:customStyle="1" w:styleId="VCSchemeTitle">
    <w:name w:val="VC_Scheme_Title"/>
    <w:basedOn w:val="Normal"/>
    <w:next w:val="Normal"/>
    <w:rsid w:val="00B5386B"/>
    <w:pPr>
      <w:spacing w:line="480" w:lineRule="auto"/>
    </w:pPr>
  </w:style>
  <w:style w:type="paragraph" w:customStyle="1" w:styleId="VDTableTitle">
    <w:name w:val="VD_Table_Title"/>
    <w:basedOn w:val="Normal"/>
    <w:next w:val="Normal"/>
    <w:rsid w:val="00B5386B"/>
    <w:pPr>
      <w:spacing w:line="480" w:lineRule="auto"/>
    </w:pPr>
  </w:style>
  <w:style w:type="paragraph" w:customStyle="1" w:styleId="VAFigureCaption">
    <w:name w:val="VA_Figure_Caption"/>
    <w:basedOn w:val="Normal"/>
    <w:next w:val="Normal"/>
    <w:rsid w:val="00B5386B"/>
    <w:pPr>
      <w:spacing w:line="480" w:lineRule="auto"/>
    </w:pPr>
  </w:style>
  <w:style w:type="paragraph" w:customStyle="1" w:styleId="VBChartTitle">
    <w:name w:val="VB_Chart_Title"/>
    <w:basedOn w:val="Normal"/>
    <w:next w:val="Normal"/>
    <w:rsid w:val="00B5386B"/>
    <w:pPr>
      <w:spacing w:line="480" w:lineRule="auto"/>
    </w:pPr>
  </w:style>
  <w:style w:type="paragraph" w:customStyle="1" w:styleId="FETableFootnote">
    <w:name w:val="FE_Table_Footnote"/>
    <w:basedOn w:val="Normal"/>
    <w:next w:val="Normal"/>
    <w:rsid w:val="00B5386B"/>
    <w:pPr>
      <w:ind w:firstLine="187"/>
    </w:pPr>
  </w:style>
  <w:style w:type="paragraph" w:customStyle="1" w:styleId="FCChartFootnote">
    <w:name w:val="FC_Chart_Footnote"/>
    <w:basedOn w:val="Normal"/>
    <w:next w:val="Normal"/>
    <w:rsid w:val="00B5386B"/>
    <w:pPr>
      <w:ind w:firstLine="187"/>
    </w:pPr>
  </w:style>
  <w:style w:type="paragraph" w:customStyle="1" w:styleId="FDSchemeFootnote">
    <w:name w:val="FD_Scheme_Footnote"/>
    <w:basedOn w:val="Normal"/>
    <w:next w:val="Normal"/>
    <w:rsid w:val="00B5386B"/>
    <w:pPr>
      <w:ind w:firstLine="187"/>
    </w:pPr>
  </w:style>
  <w:style w:type="paragraph" w:customStyle="1" w:styleId="TCTableBody">
    <w:name w:val="TC_Table_Body"/>
    <w:basedOn w:val="Normal"/>
    <w:rsid w:val="00B5386B"/>
  </w:style>
  <w:style w:type="paragraph" w:customStyle="1" w:styleId="AFTitleRunningHead">
    <w:name w:val="AF_Title_Running_Head"/>
    <w:basedOn w:val="Normal"/>
    <w:next w:val="TAMainText"/>
    <w:rsid w:val="00B5386B"/>
    <w:pPr>
      <w:spacing w:line="480" w:lineRule="auto"/>
    </w:pPr>
  </w:style>
  <w:style w:type="paragraph" w:customStyle="1" w:styleId="BEAuthorBiography">
    <w:name w:val="BE_Author_Biography"/>
    <w:basedOn w:val="Normal"/>
    <w:rsid w:val="00B5386B"/>
    <w:pPr>
      <w:spacing w:line="480" w:lineRule="auto"/>
    </w:pPr>
  </w:style>
  <w:style w:type="paragraph" w:customStyle="1" w:styleId="FACorrespondingAuthorFootnote">
    <w:name w:val="FA_Corresponding_Author_Footnote"/>
    <w:basedOn w:val="Normal"/>
    <w:next w:val="TAMainText"/>
    <w:rsid w:val="00B5386B"/>
    <w:pPr>
      <w:spacing w:line="480" w:lineRule="auto"/>
    </w:pPr>
  </w:style>
  <w:style w:type="paragraph" w:customStyle="1" w:styleId="SNSynopsisTOC">
    <w:name w:val="SN_Synopsis_TOC"/>
    <w:basedOn w:val="Normal"/>
    <w:rsid w:val="00B5386B"/>
    <w:pPr>
      <w:spacing w:line="480" w:lineRule="auto"/>
    </w:pPr>
  </w:style>
  <w:style w:type="character" w:styleId="Hipervnculo">
    <w:name w:val="Hyperlink"/>
    <w:rsid w:val="00B5386B"/>
    <w:rPr>
      <w:color w:val="0000FF"/>
      <w:u w:val="single"/>
    </w:rPr>
  </w:style>
  <w:style w:type="paragraph" w:styleId="Piedepgina">
    <w:name w:val="footer"/>
    <w:basedOn w:val="Normal"/>
    <w:rsid w:val="00B5386B"/>
    <w:pPr>
      <w:tabs>
        <w:tab w:val="center" w:pos="4320"/>
        <w:tab w:val="right" w:pos="8640"/>
      </w:tabs>
    </w:pPr>
  </w:style>
  <w:style w:type="paragraph" w:customStyle="1" w:styleId="BGKeywords">
    <w:name w:val="BG_Keywords"/>
    <w:basedOn w:val="Normal"/>
    <w:rsid w:val="00B5386B"/>
    <w:pPr>
      <w:spacing w:line="480" w:lineRule="auto"/>
    </w:pPr>
  </w:style>
  <w:style w:type="paragraph" w:customStyle="1" w:styleId="BHBriefs">
    <w:name w:val="BH_Briefs"/>
    <w:basedOn w:val="Normal"/>
    <w:rsid w:val="00B5386B"/>
    <w:pPr>
      <w:spacing w:line="480" w:lineRule="auto"/>
    </w:pPr>
  </w:style>
  <w:style w:type="character" w:styleId="Nmerodepgina">
    <w:name w:val="page number"/>
    <w:basedOn w:val="Fuentedeprrafopredeter"/>
    <w:rsid w:val="00B5386B"/>
  </w:style>
  <w:style w:type="paragraph" w:styleId="Textodeglobo">
    <w:name w:val="Balloon Text"/>
    <w:basedOn w:val="Normal"/>
    <w:semiHidden/>
    <w:rsid w:val="00E96302"/>
    <w:rPr>
      <w:rFonts w:ascii="Tahoma" w:hAnsi="Tahoma" w:cs="Tahoma"/>
      <w:sz w:val="16"/>
      <w:szCs w:val="16"/>
    </w:rPr>
  </w:style>
  <w:style w:type="paragraph" w:customStyle="1" w:styleId="StyleFACorrespondingAuthorFootnote7pt">
    <w:name w:val="Style FA_Corresponding_Author_Footnote + 7 pt"/>
    <w:basedOn w:val="Normal"/>
    <w:next w:val="BGKeywords"/>
    <w:link w:val="StyleFACorrespondingAuthorFootnote7ptChar"/>
    <w:autoRedefine/>
    <w:rsid w:val="00C10EE0"/>
    <w:pPr>
      <w:spacing w:after="0"/>
      <w:jc w:val="left"/>
    </w:pPr>
    <w:rPr>
      <w:rFonts w:ascii="Arno Pro" w:hAnsi="Arno Pro"/>
      <w:kern w:val="20"/>
      <w:sz w:val="18"/>
    </w:rPr>
  </w:style>
  <w:style w:type="character" w:customStyle="1" w:styleId="StyleFACorrespondingAuthorFootnote7ptChar">
    <w:name w:val="Style FA_Corresponding_Author_Footnote + 7 pt Char"/>
    <w:link w:val="StyleFACorrespondingAuthorFootnote7pt"/>
    <w:rsid w:val="00C10EE0"/>
    <w:rPr>
      <w:rFonts w:ascii="Arno Pro" w:hAnsi="Arno Pro"/>
      <w:kern w:val="20"/>
      <w:sz w:val="18"/>
    </w:rPr>
  </w:style>
  <w:style w:type="paragraph" w:customStyle="1" w:styleId="FAAuthorInfoSubtitle">
    <w:name w:val="FA_Author_Info_Subtitle"/>
    <w:basedOn w:val="Normal"/>
    <w:link w:val="FAAuthorInfoSubtitleChar"/>
    <w:autoRedefine/>
    <w:rsid w:val="00DD6DBB"/>
    <w:pPr>
      <w:spacing w:before="120" w:after="60" w:line="480" w:lineRule="auto"/>
      <w:jc w:val="left"/>
    </w:pPr>
    <w:rPr>
      <w:b/>
    </w:rPr>
  </w:style>
  <w:style w:type="character" w:customStyle="1" w:styleId="FAAuthorInfoSubtitleChar">
    <w:name w:val="FA_Author_Info_Subtitle Char"/>
    <w:link w:val="FAAuthorInfoSubtitle"/>
    <w:rsid w:val="00DD6DBB"/>
    <w:rPr>
      <w:rFonts w:ascii="Times" w:hAnsi="Times"/>
      <w:b/>
      <w:sz w:val="24"/>
    </w:rPr>
  </w:style>
  <w:style w:type="paragraph" w:customStyle="1" w:styleId="Default">
    <w:name w:val="Default"/>
    <w:rsid w:val="001A7A90"/>
    <w:pPr>
      <w:autoSpaceDE w:val="0"/>
      <w:autoSpaceDN w:val="0"/>
      <w:adjustRightInd w:val="0"/>
    </w:pPr>
    <w:rPr>
      <w:rFonts w:ascii="Symbol" w:hAnsi="Symbol" w:cs="Symbol"/>
      <w:color w:val="000000"/>
      <w:sz w:val="24"/>
      <w:szCs w:val="24"/>
    </w:rPr>
  </w:style>
  <w:style w:type="character" w:customStyle="1" w:styleId="TAMainTextCar">
    <w:name w:val="TA_Main_Text Car"/>
    <w:basedOn w:val="Fuentedeprrafopredeter"/>
    <w:link w:val="TAMainText"/>
    <w:rsid w:val="004D6769"/>
    <w:rPr>
      <w:rFonts w:ascii="Times" w:hAnsi="Times"/>
      <w:sz w:val="24"/>
    </w:rPr>
  </w:style>
  <w:style w:type="paragraph" w:customStyle="1" w:styleId="Legend">
    <w:name w:val="Legend"/>
    <w:basedOn w:val="Normal"/>
    <w:rsid w:val="0031077D"/>
    <w:pPr>
      <w:spacing w:after="0"/>
      <w:jc w:val="left"/>
    </w:pPr>
    <w:rPr>
      <w:rFonts w:ascii="Times New Roman" w:eastAsia="MS Mincho" w:hAnsi="Times New Roman"/>
      <w:szCs w:val="24"/>
      <w:lang w:eastAsia="ja-JP"/>
    </w:rPr>
  </w:style>
  <w:style w:type="paragraph" w:customStyle="1" w:styleId="Literature">
    <w:name w:val="Literature"/>
    <w:basedOn w:val="Normal"/>
    <w:rsid w:val="0031077D"/>
    <w:pPr>
      <w:spacing w:after="0" w:line="480" w:lineRule="auto"/>
      <w:jc w:val="left"/>
    </w:pPr>
    <w:rPr>
      <w:rFonts w:ascii="Times New Roman" w:eastAsia="MS Mincho" w:hAnsi="Times New Roman"/>
      <w:szCs w:val="24"/>
      <w:lang w:val="de-DE" w:eastAsia="ja-JP"/>
    </w:rPr>
  </w:style>
  <w:style w:type="paragraph" w:styleId="Subttulo">
    <w:name w:val="Subtitle"/>
    <w:basedOn w:val="Normal"/>
    <w:next w:val="Normal"/>
    <w:link w:val="SubttuloCar"/>
    <w:qFormat/>
    <w:rsid w:val="0031077D"/>
    <w:pPr>
      <w:numPr>
        <w:ilvl w:val="1"/>
      </w:numPr>
      <w:spacing w:after="160"/>
      <w:jc w:val="left"/>
    </w:pPr>
    <w:rPr>
      <w:rFonts w:ascii="Calibri" w:eastAsia="Calibri" w:hAnsi="Calibri"/>
      <w:color w:val="5A5A5A"/>
      <w:spacing w:val="15"/>
      <w:sz w:val="22"/>
      <w:szCs w:val="22"/>
    </w:rPr>
  </w:style>
  <w:style w:type="character" w:customStyle="1" w:styleId="SubttuloCar">
    <w:name w:val="Subtítulo Car"/>
    <w:basedOn w:val="Fuentedeprrafopredeter"/>
    <w:link w:val="Subttulo"/>
    <w:rsid w:val="0031077D"/>
    <w:rPr>
      <w:rFonts w:ascii="Calibri" w:eastAsia="Calibri" w:hAnsi="Calibri"/>
      <w:color w:val="5A5A5A"/>
      <w:spacing w:val="15"/>
      <w:sz w:val="22"/>
      <w:szCs w:val="22"/>
    </w:rPr>
  </w:style>
  <w:style w:type="paragraph" w:customStyle="1" w:styleId="EndNoteBibliographyTitle">
    <w:name w:val="EndNote Bibliography Title"/>
    <w:basedOn w:val="Normal"/>
    <w:link w:val="EndNoteBibliographyTitleCar"/>
    <w:rsid w:val="00003109"/>
    <w:pPr>
      <w:spacing w:after="0"/>
      <w:jc w:val="center"/>
    </w:pPr>
    <w:rPr>
      <w:rFonts w:cs="Times"/>
      <w:noProof/>
    </w:rPr>
  </w:style>
  <w:style w:type="character" w:customStyle="1" w:styleId="EndNoteBibliographyTitleCar">
    <w:name w:val="EndNote Bibliography Title Car"/>
    <w:basedOn w:val="Fuentedeprrafopredeter"/>
    <w:link w:val="EndNoteBibliographyTitle"/>
    <w:rsid w:val="00003109"/>
    <w:rPr>
      <w:rFonts w:ascii="Times" w:hAnsi="Times" w:cs="Times"/>
      <w:noProof/>
      <w:sz w:val="24"/>
    </w:rPr>
  </w:style>
  <w:style w:type="paragraph" w:customStyle="1" w:styleId="EndNoteBibliography">
    <w:name w:val="EndNote Bibliography"/>
    <w:basedOn w:val="Normal"/>
    <w:link w:val="EndNoteBibliographyCar"/>
    <w:rsid w:val="00003109"/>
    <w:pPr>
      <w:jc w:val="left"/>
    </w:pPr>
    <w:rPr>
      <w:rFonts w:cs="Times"/>
      <w:noProof/>
    </w:rPr>
  </w:style>
  <w:style w:type="character" w:customStyle="1" w:styleId="EndNoteBibliographyCar">
    <w:name w:val="EndNote Bibliography Car"/>
    <w:basedOn w:val="Fuentedeprrafopredeter"/>
    <w:link w:val="EndNoteBibliography"/>
    <w:rsid w:val="00003109"/>
    <w:rPr>
      <w:rFonts w:ascii="Times" w:hAnsi="Times" w:cs="Times"/>
      <w:noProof/>
      <w:sz w:val="24"/>
    </w:rPr>
  </w:style>
  <w:style w:type="paragraph" w:styleId="Encabezado">
    <w:name w:val="header"/>
    <w:basedOn w:val="Normal"/>
    <w:link w:val="EncabezadoCar"/>
    <w:rsid w:val="00337337"/>
    <w:pPr>
      <w:tabs>
        <w:tab w:val="center" w:pos="4252"/>
        <w:tab w:val="right" w:pos="8504"/>
      </w:tabs>
      <w:spacing w:after="0"/>
    </w:pPr>
  </w:style>
  <w:style w:type="character" w:customStyle="1" w:styleId="EncabezadoCar">
    <w:name w:val="Encabezado Car"/>
    <w:basedOn w:val="Fuentedeprrafopredeter"/>
    <w:link w:val="Encabezado"/>
    <w:rsid w:val="00337337"/>
    <w:rPr>
      <w:rFonts w:ascii="Times" w:hAnsi="Times"/>
      <w:sz w:val="24"/>
    </w:rPr>
  </w:style>
  <w:style w:type="character" w:styleId="Refdecomentario">
    <w:name w:val="annotation reference"/>
    <w:basedOn w:val="Fuentedeprrafopredeter"/>
    <w:rsid w:val="00580C3C"/>
    <w:rPr>
      <w:sz w:val="16"/>
      <w:szCs w:val="16"/>
    </w:rPr>
  </w:style>
  <w:style w:type="paragraph" w:styleId="Textocomentario">
    <w:name w:val="annotation text"/>
    <w:basedOn w:val="Normal"/>
    <w:link w:val="TextocomentarioCar"/>
    <w:rsid w:val="00580C3C"/>
    <w:rPr>
      <w:sz w:val="20"/>
    </w:rPr>
  </w:style>
  <w:style w:type="character" w:customStyle="1" w:styleId="TextocomentarioCar">
    <w:name w:val="Texto comentario Car"/>
    <w:basedOn w:val="Fuentedeprrafopredeter"/>
    <w:link w:val="Textocomentario"/>
    <w:rsid w:val="00580C3C"/>
    <w:rPr>
      <w:rFonts w:ascii="Times" w:hAnsi="Times"/>
    </w:rPr>
  </w:style>
  <w:style w:type="paragraph" w:styleId="Asuntodelcomentario">
    <w:name w:val="annotation subject"/>
    <w:basedOn w:val="Textocomentario"/>
    <w:next w:val="Textocomentario"/>
    <w:link w:val="AsuntodelcomentarioCar"/>
    <w:rsid w:val="00580C3C"/>
    <w:rPr>
      <w:b/>
      <w:bCs/>
    </w:rPr>
  </w:style>
  <w:style w:type="character" w:customStyle="1" w:styleId="AsuntodelcomentarioCar">
    <w:name w:val="Asunto del comentario Car"/>
    <w:basedOn w:val="TextocomentarioCar"/>
    <w:link w:val="Asuntodelcomentario"/>
    <w:rsid w:val="00580C3C"/>
    <w:rPr>
      <w:rFonts w:ascii="Times" w:hAnsi="Times"/>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45975765">
      <w:bodyDiv w:val="1"/>
      <w:marLeft w:val="0"/>
      <w:marRight w:val="0"/>
      <w:marTop w:val="0"/>
      <w:marBottom w:val="0"/>
      <w:divBdr>
        <w:top w:val="none" w:sz="0" w:space="0" w:color="auto"/>
        <w:left w:val="none" w:sz="0" w:space="0" w:color="auto"/>
        <w:bottom w:val="none" w:sz="0" w:space="0" w:color="auto"/>
        <w:right w:val="none" w:sz="0" w:space="0" w:color="auto"/>
      </w:divBdr>
    </w:div>
    <w:div w:id="1885629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wmf"/><Relationship Id="rId21" Type="http://schemas.openxmlformats.org/officeDocument/2006/relationships/image" Target="media/image15.wmf"/><Relationship Id="rId42" Type="http://schemas.openxmlformats.org/officeDocument/2006/relationships/image" Target="media/image36.wmf"/><Relationship Id="rId47" Type="http://schemas.openxmlformats.org/officeDocument/2006/relationships/image" Target="media/image41.wmf"/><Relationship Id="rId63" Type="http://schemas.openxmlformats.org/officeDocument/2006/relationships/image" Target="media/image57.emf"/><Relationship Id="rId68" Type="http://schemas.openxmlformats.org/officeDocument/2006/relationships/image" Target="media/image62.tiff"/><Relationship Id="rId7" Type="http://schemas.openxmlformats.org/officeDocument/2006/relationships/image" Target="media/image1.emf"/><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wmf"/><Relationship Id="rId29" Type="http://schemas.openxmlformats.org/officeDocument/2006/relationships/image" Target="media/image23.wmf"/><Relationship Id="rId11" Type="http://schemas.openxmlformats.org/officeDocument/2006/relationships/image" Target="media/image5.wmf"/><Relationship Id="rId24" Type="http://schemas.openxmlformats.org/officeDocument/2006/relationships/image" Target="media/image18.wmf"/><Relationship Id="rId32" Type="http://schemas.openxmlformats.org/officeDocument/2006/relationships/image" Target="media/image26.wmf"/><Relationship Id="rId37" Type="http://schemas.openxmlformats.org/officeDocument/2006/relationships/image" Target="media/image31.wmf"/><Relationship Id="rId40" Type="http://schemas.openxmlformats.org/officeDocument/2006/relationships/image" Target="media/image34.wmf"/><Relationship Id="rId45" Type="http://schemas.openxmlformats.org/officeDocument/2006/relationships/image" Target="media/image39.wmf"/><Relationship Id="rId53" Type="http://schemas.openxmlformats.org/officeDocument/2006/relationships/image" Target="media/image47.wmf"/><Relationship Id="rId58" Type="http://schemas.openxmlformats.org/officeDocument/2006/relationships/image" Target="media/image52.wmf"/><Relationship Id="rId66" Type="http://schemas.openxmlformats.org/officeDocument/2006/relationships/image" Target="media/image60.emf"/><Relationship Id="rId5" Type="http://schemas.openxmlformats.org/officeDocument/2006/relationships/footnotes" Target="footnotes.xml"/><Relationship Id="rId61" Type="http://schemas.openxmlformats.org/officeDocument/2006/relationships/image" Target="media/image55.emf"/><Relationship Id="rId19" Type="http://schemas.openxmlformats.org/officeDocument/2006/relationships/image" Target="media/image13.wmf"/><Relationship Id="rId14" Type="http://schemas.openxmlformats.org/officeDocument/2006/relationships/image" Target="media/image8.wmf"/><Relationship Id="rId22" Type="http://schemas.openxmlformats.org/officeDocument/2006/relationships/image" Target="media/image16.wmf"/><Relationship Id="rId27" Type="http://schemas.openxmlformats.org/officeDocument/2006/relationships/image" Target="media/image21.wmf"/><Relationship Id="rId30" Type="http://schemas.openxmlformats.org/officeDocument/2006/relationships/image" Target="media/image24.wmf"/><Relationship Id="rId35" Type="http://schemas.openxmlformats.org/officeDocument/2006/relationships/image" Target="media/image29.wmf"/><Relationship Id="rId43" Type="http://schemas.openxmlformats.org/officeDocument/2006/relationships/image" Target="media/image37.wmf"/><Relationship Id="rId48" Type="http://schemas.openxmlformats.org/officeDocument/2006/relationships/image" Target="media/image42.wmf"/><Relationship Id="rId56" Type="http://schemas.openxmlformats.org/officeDocument/2006/relationships/image" Target="media/image50.wmf"/><Relationship Id="rId64" Type="http://schemas.openxmlformats.org/officeDocument/2006/relationships/image" Target="media/image58.emf"/><Relationship Id="rId69" Type="http://schemas.openxmlformats.org/officeDocument/2006/relationships/footer" Target="footer1.xml"/><Relationship Id="rId8" Type="http://schemas.openxmlformats.org/officeDocument/2006/relationships/image" Target="media/image2.wmf"/><Relationship Id="rId51" Type="http://schemas.openxmlformats.org/officeDocument/2006/relationships/image" Target="media/image45.wmf"/><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wmf"/><Relationship Id="rId17" Type="http://schemas.openxmlformats.org/officeDocument/2006/relationships/image" Target="media/image11.wmf"/><Relationship Id="rId25" Type="http://schemas.openxmlformats.org/officeDocument/2006/relationships/image" Target="media/image19.wmf"/><Relationship Id="rId33" Type="http://schemas.openxmlformats.org/officeDocument/2006/relationships/image" Target="media/image27.wmf"/><Relationship Id="rId38" Type="http://schemas.openxmlformats.org/officeDocument/2006/relationships/image" Target="media/image32.wmf"/><Relationship Id="rId46" Type="http://schemas.openxmlformats.org/officeDocument/2006/relationships/image" Target="media/image40.wmf"/><Relationship Id="rId59" Type="http://schemas.openxmlformats.org/officeDocument/2006/relationships/image" Target="media/image53.wmf"/><Relationship Id="rId67" Type="http://schemas.openxmlformats.org/officeDocument/2006/relationships/image" Target="media/image61.emf"/><Relationship Id="rId20" Type="http://schemas.openxmlformats.org/officeDocument/2006/relationships/image" Target="media/image14.wmf"/><Relationship Id="rId41" Type="http://schemas.openxmlformats.org/officeDocument/2006/relationships/image" Target="media/image35.wmf"/><Relationship Id="rId54" Type="http://schemas.openxmlformats.org/officeDocument/2006/relationships/image" Target="media/image48.wmf"/><Relationship Id="rId62" Type="http://schemas.openxmlformats.org/officeDocument/2006/relationships/image" Target="media/image56.emf"/><Relationship Id="rId70"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wmf"/><Relationship Id="rId23" Type="http://schemas.openxmlformats.org/officeDocument/2006/relationships/image" Target="media/image17.wmf"/><Relationship Id="rId28" Type="http://schemas.openxmlformats.org/officeDocument/2006/relationships/image" Target="media/image22.wmf"/><Relationship Id="rId36" Type="http://schemas.openxmlformats.org/officeDocument/2006/relationships/image" Target="media/image30.wmf"/><Relationship Id="rId49" Type="http://schemas.openxmlformats.org/officeDocument/2006/relationships/image" Target="media/image43.wmf"/><Relationship Id="rId57" Type="http://schemas.openxmlformats.org/officeDocument/2006/relationships/image" Target="media/image51.wmf"/><Relationship Id="rId10" Type="http://schemas.openxmlformats.org/officeDocument/2006/relationships/image" Target="media/image4.wmf"/><Relationship Id="rId31" Type="http://schemas.openxmlformats.org/officeDocument/2006/relationships/image" Target="media/image25.wmf"/><Relationship Id="rId44" Type="http://schemas.openxmlformats.org/officeDocument/2006/relationships/image" Target="media/image38.wmf"/><Relationship Id="rId52" Type="http://schemas.openxmlformats.org/officeDocument/2006/relationships/image" Target="media/image46.wmf"/><Relationship Id="rId60" Type="http://schemas.openxmlformats.org/officeDocument/2006/relationships/image" Target="media/image54.wmf"/><Relationship Id="rId65" Type="http://schemas.openxmlformats.org/officeDocument/2006/relationships/image" Target="media/image59.emf"/><Relationship Id="rId4" Type="http://schemas.openxmlformats.org/officeDocument/2006/relationships/webSettings" Target="webSettings.xml"/><Relationship Id="rId9" Type="http://schemas.openxmlformats.org/officeDocument/2006/relationships/image" Target="media/image3.wmf"/><Relationship Id="rId13" Type="http://schemas.openxmlformats.org/officeDocument/2006/relationships/image" Target="media/image7.wmf"/><Relationship Id="rId18" Type="http://schemas.openxmlformats.org/officeDocument/2006/relationships/image" Target="media/image12.wmf"/><Relationship Id="rId39" Type="http://schemas.openxmlformats.org/officeDocument/2006/relationships/image" Target="media/image33.wmf"/><Relationship Id="rId34" Type="http://schemas.openxmlformats.org/officeDocument/2006/relationships/image" Target="media/image28.wmf"/><Relationship Id="rId50" Type="http://schemas.openxmlformats.org/officeDocument/2006/relationships/image" Target="media/image44.wmf"/><Relationship Id="rId55" Type="http://schemas.openxmlformats.org/officeDocument/2006/relationships/image" Target="media/image49.wmf"/></Relationships>
</file>

<file path=word/_rels/settings.xml.rels><?xml version="1.0" encoding="UTF-8" standalone="yes"?>
<Relationships xmlns="http://schemas.openxmlformats.org/package/2006/relationships"><Relationship Id="rId1" Type="http://schemas.openxmlformats.org/officeDocument/2006/relationships/attachedTemplate" Target="file:///D:\Articles%20meus\152Sm\1-Khuloud\Submitted\4-ACSNano\Wang-ACSNano-ms.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Wang-ACSNano-ms</Template>
  <TotalTime>1</TotalTime>
  <Pages>45</Pages>
  <Words>10316</Words>
  <Characters>56743</Characters>
  <Application>Microsoft Office Word</Application>
  <DocSecurity>0</DocSecurity>
  <Lines>472</Lines>
  <Paragraphs>133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Template for Electronic Submission to ACS Journals</vt:lpstr>
      <vt:lpstr>Template for Electronic Submission to ACS Journals</vt:lpstr>
    </vt:vector>
  </TitlesOfParts>
  <Company>ACS</Company>
  <LinksUpToDate>false</LinksUpToDate>
  <CharactersWithSpaces>66926</CharactersWithSpaces>
  <SharedDoc>false</SharedDoc>
  <HLinks>
    <vt:vector size="6" baseType="variant">
      <vt:variant>
        <vt:i4>4849748</vt:i4>
      </vt:variant>
      <vt:variant>
        <vt:i4>0</vt:i4>
      </vt:variant>
      <vt:variant>
        <vt:i4>0</vt:i4>
      </vt:variant>
      <vt:variant>
        <vt:i4>5</vt:i4>
      </vt:variant>
      <vt:variant>
        <vt:lpwstr>http://pubs.acs.org/page/4authors/index.html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for Electronic Submission to ACS Journals</dc:title>
  <dc:creator>gtobias</dc:creator>
  <cp:lastModifiedBy>gtobias</cp:lastModifiedBy>
  <cp:revision>5</cp:revision>
  <cp:lastPrinted>2019-06-21T13:21:00Z</cp:lastPrinted>
  <dcterms:created xsi:type="dcterms:W3CDTF">2019-11-18T15:28:00Z</dcterms:created>
  <dcterms:modified xsi:type="dcterms:W3CDTF">2019-11-18T15:31:00Z</dcterms:modified>
</cp:coreProperties>
</file>