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201"/>
        <w:gridCol w:w="1601"/>
        <w:gridCol w:w="1601"/>
        <w:gridCol w:w="2058"/>
        <w:gridCol w:w="1601"/>
      </w:tblGrid>
      <w:tr w:rsidR="00992755" w:rsidRPr="008058CF" w:rsidTr="008058CF">
        <w:tc>
          <w:tcPr>
            <w:tcW w:w="22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3202" w:type="dxa"/>
            <w:gridSpan w:val="2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Mortality (%)</w:t>
            </w:r>
          </w:p>
        </w:tc>
        <w:tc>
          <w:tcPr>
            <w:tcW w:w="3659" w:type="dxa"/>
            <w:gridSpan w:val="2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Fertilization success (%)</w:t>
            </w:r>
          </w:p>
        </w:tc>
      </w:tr>
      <w:tr w:rsidR="00992755" w:rsidRPr="008058CF" w:rsidTr="008058CF">
        <w:tc>
          <w:tcPr>
            <w:tcW w:w="22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Fenoxycarb</w:t>
            </w:r>
            <w:proofErr w:type="spellEnd"/>
          </w:p>
        </w:tc>
        <w:tc>
          <w:tcPr>
            <w:tcW w:w="2058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Fenoxycarb</w:t>
            </w:r>
            <w:proofErr w:type="spellEnd"/>
          </w:p>
        </w:tc>
      </w:tr>
      <w:tr w:rsidR="00992755" w:rsidRPr="008058CF" w:rsidTr="008058CF">
        <w:tc>
          <w:tcPr>
            <w:tcW w:w="22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G. </w:t>
            </w:r>
            <w:proofErr w:type="spellStart"/>
            <w:r w:rsidRPr="008058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fossarum</w:t>
            </w:r>
            <w:proofErr w:type="spellEnd"/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78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82</w:t>
            </w:r>
          </w:p>
        </w:tc>
        <w:tc>
          <w:tcPr>
            <w:tcW w:w="2058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72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56</w:t>
            </w:r>
          </w:p>
        </w:tc>
      </w:tr>
      <w:tr w:rsidR="00992755" w:rsidRPr="008058CF" w:rsidTr="008058CF">
        <w:tc>
          <w:tcPr>
            <w:tcW w:w="22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G. </w:t>
            </w:r>
            <w:proofErr w:type="spellStart"/>
            <w:r w:rsidRPr="008058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roeseli</w:t>
            </w:r>
            <w:proofErr w:type="spellEnd"/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72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58</w:t>
            </w:r>
          </w:p>
        </w:tc>
        <w:tc>
          <w:tcPr>
            <w:tcW w:w="2058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50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65</w:t>
            </w:r>
          </w:p>
        </w:tc>
      </w:tr>
      <w:tr w:rsidR="00992755" w:rsidRPr="008058CF" w:rsidTr="008058CF">
        <w:tc>
          <w:tcPr>
            <w:tcW w:w="22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E. </w:t>
            </w:r>
            <w:proofErr w:type="spellStart"/>
            <w:r w:rsidRPr="008058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longisetosus</w:t>
            </w:r>
            <w:proofErr w:type="spellEnd"/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98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97</w:t>
            </w:r>
          </w:p>
        </w:tc>
        <w:tc>
          <w:tcPr>
            <w:tcW w:w="2058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77</w:t>
            </w:r>
          </w:p>
        </w:tc>
        <w:tc>
          <w:tcPr>
            <w:tcW w:w="1601" w:type="dxa"/>
          </w:tcPr>
          <w:p w:rsidR="00992755" w:rsidRPr="008058CF" w:rsidRDefault="00992755" w:rsidP="00805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05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90</w:t>
            </w:r>
          </w:p>
        </w:tc>
      </w:tr>
    </w:tbl>
    <w:p w:rsidR="00992755" w:rsidRPr="008058CF" w:rsidRDefault="00992755" w:rsidP="00FA6082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8058CF">
        <w:rPr>
          <w:rFonts w:ascii="Times New Roman" w:eastAsia="Times New Roman" w:hAnsi="Times New Roman" w:cs="Times New Roman"/>
          <w:b/>
          <w:lang w:val="en-US" w:eastAsia="fr-FR"/>
        </w:rPr>
        <w:t>Supplementa</w:t>
      </w:r>
      <w:r w:rsidR="008058CF" w:rsidRPr="008058CF">
        <w:rPr>
          <w:rFonts w:ascii="Times New Roman" w:eastAsia="Times New Roman" w:hAnsi="Times New Roman" w:cs="Times New Roman"/>
          <w:b/>
          <w:lang w:val="en-US" w:eastAsia="fr-FR"/>
        </w:rPr>
        <w:t>ry material</w:t>
      </w:r>
    </w:p>
    <w:p w:rsidR="008058CF" w:rsidRPr="008058CF" w:rsidRDefault="008058CF" w:rsidP="00FA6082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8058CF" w:rsidRPr="008058CF" w:rsidRDefault="008058CF" w:rsidP="00FA608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Table S1. Mortality and fertilization success in the three study species in response to 5 µg L</w:t>
      </w:r>
      <w:r w:rsidRPr="0050222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FR"/>
        </w:rPr>
        <w:t>-1</w:t>
      </w:r>
      <w:r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fenoxycarb</w:t>
      </w:r>
      <w:proofErr w:type="spellEnd"/>
      <w:r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exposure</w:t>
      </w:r>
    </w:p>
    <w:p w:rsidR="00992755" w:rsidRPr="008058CF" w:rsidRDefault="00992755" w:rsidP="00FA6082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</w:p>
    <w:p w:rsidR="00FA6082" w:rsidRPr="008058CF" w:rsidRDefault="00FA6082" w:rsidP="00FA6082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8058CF">
        <w:rPr>
          <w:rFonts w:ascii="Times New Roman" w:eastAsia="Times New Roman" w:hAnsi="Times New Roman" w:cs="Times New Roman"/>
          <w:lang w:val="en-US" w:eastAsia="fr-FR"/>
        </w:rPr>
        <w:t>Molecular analysis</w:t>
      </w:r>
    </w:p>
    <w:p w:rsidR="00FA6082" w:rsidRPr="008058CF" w:rsidRDefault="00FA6082" w:rsidP="00FA6082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8058CF">
        <w:rPr>
          <w:rFonts w:ascii="Times New Roman" w:eastAsia="Times New Roman" w:hAnsi="Times New Roman" w:cs="Times New Roman"/>
          <w:lang w:val="en-US" w:eastAsia="fr-FR"/>
        </w:rPr>
        <w:t>Mitochondrial DNA was extracted from ethanol p</w:t>
      </w:r>
      <w:bookmarkStart w:id="0" w:name="_GoBack"/>
      <w:bookmarkEnd w:id="0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reserved tissue. For each individual, first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gnathopod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was added to 150 µL of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Chelex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7% (Walsh et al. 1991) and to 10 µL of proteinase K. The tissue fragments were then incubated according to the following cycle: 2 hours at 50°C, 15 minutes at 90°C and then 5 min at 15°C. </w:t>
      </w:r>
    </w:p>
    <w:p w:rsidR="00FA6082" w:rsidRPr="008058CF" w:rsidRDefault="00FA6082" w:rsidP="00FA6082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An approximately 600 nucleotide fragments of the mitochondrial cytochrome c oxidase subunit 1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 xml:space="preserve">(CO1) 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was amplified using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Folmer’s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universal</w:t>
      </w:r>
      <w:r w:rsidR="008058CF">
        <w:rPr>
          <w:rFonts w:ascii="Times New Roman" w:eastAsia="Times New Roman" w:hAnsi="Times New Roman" w:cs="Times New Roman"/>
          <w:lang w:val="en-US" w:eastAsia="fr-FR"/>
        </w:rPr>
        <w:t xml:space="preserve"> primers (</w:t>
      </w:r>
      <w:proofErr w:type="spellStart"/>
      <w:r w:rsidR="008058CF">
        <w:rPr>
          <w:rFonts w:ascii="Times New Roman" w:eastAsia="Times New Roman" w:hAnsi="Times New Roman" w:cs="Times New Roman"/>
          <w:lang w:val="en-US" w:eastAsia="fr-FR"/>
        </w:rPr>
        <w:t>Folmer</w:t>
      </w:r>
      <w:proofErr w:type="spellEnd"/>
      <w:r w:rsidR="008058CF">
        <w:rPr>
          <w:rFonts w:ascii="Times New Roman" w:eastAsia="Times New Roman" w:hAnsi="Times New Roman" w:cs="Times New Roman"/>
          <w:lang w:val="en-US" w:eastAsia="fr-FR"/>
        </w:rPr>
        <w:t xml:space="preserve"> et al.</w:t>
      </w:r>
      <w:r w:rsidR="00903845" w:rsidRPr="008058CF">
        <w:rPr>
          <w:rFonts w:ascii="Times New Roman" w:eastAsia="Times New Roman" w:hAnsi="Times New Roman" w:cs="Times New Roman"/>
          <w:lang w:val="en-US" w:eastAsia="fr-FR"/>
        </w:rPr>
        <w:t xml:space="preserve"> 1994)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. A standard PCR mix included per sample an amount of 2 µL genomic DNA, </w:t>
      </w:r>
      <w:r w:rsidR="002E3146" w:rsidRPr="008058CF">
        <w:rPr>
          <w:rFonts w:ascii="Times New Roman" w:eastAsia="Times New Roman" w:hAnsi="Times New Roman" w:cs="Times New Roman"/>
          <w:lang w:val="en-US" w:eastAsia="fr-FR"/>
        </w:rPr>
        <w:t xml:space="preserve">17 </w:t>
      </w:r>
      <w:r w:rsidRPr="008058CF">
        <w:rPr>
          <w:rFonts w:ascii="Times New Roman" w:eastAsia="Times New Roman" w:hAnsi="Times New Roman" w:cs="Times New Roman"/>
          <w:lang w:val="en-US" w:eastAsia="fr-FR"/>
        </w:rPr>
        <w:t>µL of H</w:t>
      </w:r>
      <w:r w:rsidRPr="008058CF">
        <w:rPr>
          <w:rFonts w:ascii="Times New Roman" w:eastAsia="Times New Roman" w:hAnsi="Times New Roman" w:cs="Times New Roman"/>
          <w:vertAlign w:val="subscript"/>
          <w:lang w:val="en-US" w:eastAsia="fr-FR"/>
        </w:rPr>
        <w:t>2</w:t>
      </w:r>
      <w:r w:rsidR="002E3146" w:rsidRPr="008058CF">
        <w:rPr>
          <w:rFonts w:ascii="Times New Roman" w:eastAsia="Times New Roman" w:hAnsi="Times New Roman" w:cs="Times New Roman"/>
          <w:lang w:val="en-US" w:eastAsia="fr-FR"/>
        </w:rPr>
        <w:t>O, 2.5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µL of Standard Buffer 10X </w:t>
      </w:r>
      <w:r w:rsidR="002E3146" w:rsidRPr="008058CF">
        <w:rPr>
          <w:rFonts w:ascii="Times New Roman" w:eastAsia="Times New Roman" w:hAnsi="Times New Roman" w:cs="Times New Roman"/>
          <w:lang w:val="en-US" w:eastAsia="fr-FR"/>
        </w:rPr>
        <w:t>(</w:t>
      </w:r>
      <w:proofErr w:type="spellStart"/>
      <w:r w:rsidR="002E3146" w:rsidRPr="008058CF">
        <w:rPr>
          <w:rFonts w:ascii="Times New Roman" w:eastAsia="Times New Roman" w:hAnsi="Times New Roman" w:cs="Times New Roman"/>
          <w:lang w:val="en-US" w:eastAsia="fr-FR"/>
        </w:rPr>
        <w:t>Biolabs</w:t>
      </w:r>
      <w:proofErr w:type="spellEnd"/>
      <w:r w:rsidR="002E3146" w:rsidRPr="008058CF">
        <w:rPr>
          <w:rFonts w:ascii="Times New Roman" w:eastAsia="Times New Roman" w:hAnsi="Times New Roman" w:cs="Times New Roman"/>
          <w:lang w:val="en-US" w:eastAsia="fr-FR"/>
        </w:rPr>
        <w:t xml:space="preserve"> B9014S) with 30 </w:t>
      </w:r>
      <w:proofErr w:type="spellStart"/>
      <w:r w:rsidR="002E3146" w:rsidRPr="008058CF">
        <w:rPr>
          <w:rFonts w:ascii="Times New Roman" w:eastAsia="Times New Roman" w:hAnsi="Times New Roman" w:cs="Times New Roman"/>
          <w:lang w:val="en-US" w:eastAsia="fr-FR"/>
        </w:rPr>
        <w:t>mM</w:t>
      </w:r>
      <w:proofErr w:type="spellEnd"/>
      <w:r w:rsidR="002E3146" w:rsidRPr="008058CF">
        <w:rPr>
          <w:rFonts w:ascii="Times New Roman" w:eastAsia="Times New Roman" w:hAnsi="Times New Roman" w:cs="Times New Roman"/>
          <w:lang w:val="en-US" w:eastAsia="fr-FR"/>
        </w:rPr>
        <w:t xml:space="preserve"> MgCl2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2E3146" w:rsidRPr="008058CF">
        <w:rPr>
          <w:rFonts w:ascii="Times New Roman" w:eastAsia="Times New Roman" w:hAnsi="Times New Roman" w:cs="Times New Roman"/>
          <w:lang w:val="en-US" w:eastAsia="fr-FR"/>
        </w:rPr>
        <w:t>1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µL of each </w:t>
      </w:r>
      <w:proofErr w:type="gramStart"/>
      <w:r w:rsidRPr="008058CF">
        <w:rPr>
          <w:rFonts w:ascii="Times New Roman" w:eastAsia="Times New Roman" w:hAnsi="Times New Roman" w:cs="Times New Roman"/>
          <w:lang w:val="en-US" w:eastAsia="fr-FR"/>
        </w:rPr>
        <w:t>primers</w:t>
      </w:r>
      <w:proofErr w:type="gram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at 10 µM, </w:t>
      </w:r>
      <w:r w:rsidR="002E3146" w:rsidRPr="008058CF">
        <w:rPr>
          <w:rFonts w:ascii="Times New Roman" w:eastAsia="Times New Roman" w:hAnsi="Times New Roman" w:cs="Times New Roman"/>
          <w:lang w:val="en-US" w:eastAsia="fr-FR"/>
        </w:rPr>
        <w:t>0.25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µL of BSA 100X at 10 mg/mL, </w:t>
      </w:r>
      <w:r w:rsidR="00F0300D" w:rsidRPr="008058CF">
        <w:rPr>
          <w:rFonts w:ascii="Times New Roman" w:eastAsia="Times New Roman" w:hAnsi="Times New Roman" w:cs="Times New Roman"/>
          <w:lang w:val="en-US" w:eastAsia="fr-FR"/>
        </w:rPr>
        <w:t xml:space="preserve">1 µL of </w:t>
      </w:r>
      <w:proofErr w:type="spellStart"/>
      <w:r w:rsidR="00F0300D" w:rsidRPr="008058CF">
        <w:rPr>
          <w:rFonts w:ascii="Times New Roman" w:eastAsia="Times New Roman" w:hAnsi="Times New Roman" w:cs="Times New Roman"/>
          <w:lang w:val="en-US" w:eastAsia="fr-FR"/>
        </w:rPr>
        <w:t>dNTP</w:t>
      </w:r>
      <w:proofErr w:type="spellEnd"/>
      <w:r w:rsidR="00F0300D" w:rsidRPr="008058CF">
        <w:rPr>
          <w:rFonts w:ascii="Times New Roman" w:eastAsia="Times New Roman" w:hAnsi="Times New Roman" w:cs="Times New Roman"/>
          <w:lang w:val="en-US" w:eastAsia="fr-FR"/>
        </w:rPr>
        <w:t xml:space="preserve"> at 20 </w:t>
      </w:r>
      <w:proofErr w:type="spellStart"/>
      <w:r w:rsidR="00F0300D" w:rsidRPr="008058CF">
        <w:rPr>
          <w:rFonts w:ascii="Times New Roman" w:eastAsia="Times New Roman" w:hAnsi="Times New Roman" w:cs="Times New Roman"/>
          <w:lang w:val="en-US" w:eastAsia="fr-FR"/>
        </w:rPr>
        <w:t>mM</w:t>
      </w:r>
      <w:proofErr w:type="spellEnd"/>
      <w:r w:rsidR="00F0300D" w:rsidRPr="008058CF">
        <w:rPr>
          <w:rFonts w:ascii="Times New Roman" w:eastAsia="Times New Roman" w:hAnsi="Times New Roman" w:cs="Times New Roman"/>
          <w:lang w:val="en-US" w:eastAsia="fr-FR"/>
        </w:rPr>
        <w:t xml:space="preserve"> and 0.25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µL of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Taq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polymerase at 5 U/µL (EUROBIOTAQ). The polymerase chain reaction conditions were as foll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ows. After an initial step of 95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°C for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3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min,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40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cycles of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2</w:t>
      </w:r>
      <w:r w:rsidRPr="008058CF">
        <w:rPr>
          <w:rFonts w:ascii="Times New Roman" w:eastAsia="Times New Roman" w:hAnsi="Times New Roman" w:cs="Times New Roman"/>
          <w:lang w:val="en-US" w:eastAsia="fr-FR"/>
        </w:rPr>
        <w:t>0 s at 9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5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°C, 30 s at 51°C and 45 s at 72°C was proceeded. Reaction was terminated after a final step at 72°C for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5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min.</w:t>
      </w:r>
    </w:p>
    <w:p w:rsidR="00FA6082" w:rsidRPr="008058CF" w:rsidRDefault="00FA6082" w:rsidP="00FA6082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PCR results were checked on a 1.3% agarose gel with TAE 1X.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Both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strand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s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41416D" w:rsidRPr="008058CF">
        <w:rPr>
          <w:rFonts w:ascii="Times New Roman" w:eastAsia="Times New Roman" w:hAnsi="Times New Roman" w:cs="Times New Roman"/>
          <w:lang w:val="en-US" w:eastAsia="fr-FR"/>
        </w:rPr>
        <w:t>were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sequenced by using the Sanger method (Sanger et al. 1977) by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Biofidal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>. Sequence chromatograms were edited manually for all individual</w:t>
      </w:r>
      <w:r w:rsidR="00502228">
        <w:rPr>
          <w:rFonts w:ascii="Times New Roman" w:eastAsia="Times New Roman" w:hAnsi="Times New Roman" w:cs="Times New Roman"/>
          <w:lang w:val="en-US" w:eastAsia="fr-FR"/>
        </w:rPr>
        <w:t xml:space="preserve">s using </w:t>
      </w:r>
      <w:proofErr w:type="spellStart"/>
      <w:r w:rsidR="00502228">
        <w:rPr>
          <w:rFonts w:ascii="Times New Roman" w:eastAsia="Times New Roman" w:hAnsi="Times New Roman" w:cs="Times New Roman"/>
          <w:lang w:val="en-US" w:eastAsia="fr-FR"/>
        </w:rPr>
        <w:t>FinchTV</w:t>
      </w:r>
      <w:proofErr w:type="spellEnd"/>
      <w:r w:rsidR="00502228">
        <w:rPr>
          <w:rFonts w:ascii="Times New Roman" w:eastAsia="Times New Roman" w:hAnsi="Times New Roman" w:cs="Times New Roman"/>
          <w:lang w:val="en-US" w:eastAsia="fr-FR"/>
        </w:rPr>
        <w:t xml:space="preserve"> (version 1.4.0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Geospiza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>, Inc.</w:t>
      </w:r>
      <w:r w:rsidR="00502228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Seattle, WA, USA; </w:t>
      </w:r>
      <w:hyperlink r:id="rId4" w:history="1">
        <w:r w:rsidRPr="008058CF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http://www.geospiza.com</w:t>
        </w:r>
      </w:hyperlink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).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CO1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fragments alignment was done using Prank (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Löytynoja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2005). In o</w:t>
      </w:r>
      <w:r w:rsidR="0041416D" w:rsidRPr="008058CF">
        <w:rPr>
          <w:rFonts w:ascii="Times New Roman" w:eastAsia="Times New Roman" w:hAnsi="Times New Roman" w:cs="Times New Roman"/>
          <w:lang w:val="en-US" w:eastAsia="fr-FR"/>
        </w:rPr>
        <w:t xml:space="preserve">rder to compare these sequences, 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the 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>CO1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of 1</w:t>
      </w:r>
      <w:r w:rsidR="00D60588" w:rsidRPr="008058CF">
        <w:rPr>
          <w:rFonts w:ascii="Times New Roman" w:eastAsia="Times New Roman" w:hAnsi="Times New Roman" w:cs="Times New Roman"/>
          <w:lang w:val="en-US" w:eastAsia="fr-FR"/>
        </w:rPr>
        <w:t>1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species</w:t>
      </w:r>
      <w:r w:rsidR="0041416D" w:rsidRPr="008058CF">
        <w:rPr>
          <w:rFonts w:ascii="Times New Roman" w:eastAsia="Times New Roman" w:hAnsi="Times New Roman" w:cs="Times New Roman"/>
          <w:lang w:val="en-US" w:eastAsia="fr-FR"/>
        </w:rPr>
        <w:t xml:space="preserve"> belonging to the </w:t>
      </w:r>
      <w:proofErr w:type="spellStart"/>
      <w:r w:rsidR="0041416D" w:rsidRPr="008058CF">
        <w:rPr>
          <w:rFonts w:ascii="Times New Roman" w:eastAsia="Times New Roman" w:hAnsi="Times New Roman" w:cs="Times New Roman"/>
          <w:i/>
          <w:lang w:val="en-US" w:eastAsia="fr-FR"/>
        </w:rPr>
        <w:t>Echinogammarus</w:t>
      </w:r>
      <w:proofErr w:type="spellEnd"/>
      <w:r w:rsidR="0041416D" w:rsidRPr="008058CF">
        <w:rPr>
          <w:rFonts w:ascii="Times New Roman" w:eastAsia="Times New Roman" w:hAnsi="Times New Roman" w:cs="Times New Roman"/>
          <w:lang w:val="en-US" w:eastAsia="fr-FR"/>
        </w:rPr>
        <w:t xml:space="preserve"> genus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was extracted from the genetic database NCBI</w:t>
      </w:r>
      <w:r w:rsidR="00116B75" w:rsidRPr="008058CF">
        <w:rPr>
          <w:rFonts w:ascii="Times New Roman" w:eastAsia="Times New Roman" w:hAnsi="Times New Roman" w:cs="Times New Roman"/>
          <w:lang w:val="en-US" w:eastAsia="fr-FR"/>
        </w:rPr>
        <w:t xml:space="preserve"> (see accession number on phylogenetic tree)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="0041416D" w:rsidRPr="008058CF">
        <w:rPr>
          <w:rFonts w:ascii="Times New Roman" w:eastAsia="Times New Roman" w:hAnsi="Times New Roman" w:cs="Times New Roman"/>
          <w:lang w:val="en-US" w:eastAsia="fr-FR"/>
        </w:rPr>
        <w:t xml:space="preserve">A sequence of </w:t>
      </w:r>
      <w:proofErr w:type="spellStart"/>
      <w:r w:rsidR="0041416D" w:rsidRPr="008058CF">
        <w:rPr>
          <w:rFonts w:ascii="Times New Roman" w:eastAsia="Times New Roman" w:hAnsi="Times New Roman" w:cs="Times New Roman"/>
          <w:i/>
          <w:lang w:val="en-US" w:eastAsia="fr-FR"/>
        </w:rPr>
        <w:t>Gammarus</w:t>
      </w:r>
      <w:proofErr w:type="spellEnd"/>
      <w:r w:rsidR="0041416D" w:rsidRPr="008058CF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proofErr w:type="spellStart"/>
      <w:r w:rsidR="0041416D" w:rsidRPr="008058CF">
        <w:rPr>
          <w:rFonts w:ascii="Times New Roman" w:eastAsia="Times New Roman" w:hAnsi="Times New Roman" w:cs="Times New Roman"/>
          <w:i/>
          <w:lang w:val="en-US" w:eastAsia="fr-FR"/>
        </w:rPr>
        <w:t>roeseli</w:t>
      </w:r>
      <w:proofErr w:type="spellEnd"/>
      <w:r w:rsidR="0041416D" w:rsidRPr="008058CF">
        <w:rPr>
          <w:rFonts w:ascii="Times New Roman" w:eastAsia="Times New Roman" w:hAnsi="Times New Roman" w:cs="Times New Roman"/>
          <w:lang w:val="en-US" w:eastAsia="fr-FR"/>
        </w:rPr>
        <w:t xml:space="preserve"> was added in order to root the tree. 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The tree building was processed in 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PhyML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with the Neighbor Joining method and the robustness of nodes was assessed by a </w:t>
      </w:r>
      <w:r w:rsidR="008058CF" w:rsidRPr="008058CF">
        <w:rPr>
          <w:rFonts w:ascii="Times New Roman" w:eastAsia="Times New Roman" w:hAnsi="Times New Roman" w:cs="Times New Roman"/>
          <w:lang w:val="en-US" w:eastAsia="fr-FR"/>
        </w:rPr>
        <w:t>non-parametric</w:t>
      </w:r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bootstrap test (100) (</w:t>
      </w:r>
      <w:proofErr w:type="spellStart"/>
      <w:r w:rsidRPr="008058CF">
        <w:rPr>
          <w:rFonts w:ascii="Times New Roman" w:eastAsia="Times New Roman" w:hAnsi="Times New Roman" w:cs="Times New Roman"/>
          <w:lang w:val="en-US" w:eastAsia="fr-FR"/>
        </w:rPr>
        <w:t>Felsenstein</w:t>
      </w:r>
      <w:proofErr w:type="spellEnd"/>
      <w:r w:rsidRPr="008058CF">
        <w:rPr>
          <w:rFonts w:ascii="Times New Roman" w:eastAsia="Times New Roman" w:hAnsi="Times New Roman" w:cs="Times New Roman"/>
          <w:lang w:val="en-US" w:eastAsia="fr-FR"/>
        </w:rPr>
        <w:t xml:space="preserve"> 1985).</w:t>
      </w:r>
    </w:p>
    <w:p w:rsidR="00D60588" w:rsidRPr="008058CF" w:rsidRDefault="003B761F" w:rsidP="00FA6082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8058CF">
        <w:rPr>
          <w:rFonts w:ascii="Times New Roman" w:eastAsia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756275" cy="3752850"/>
            <wp:effectExtent l="0" t="0" r="0" b="0"/>
            <wp:docPr id="2" name="Image 2" descr="C:\Users\forcellini\Documents\IRSTEA\Projets\2018\2018-Barcoding_Tricho_Moll_Gamm\Analyse Round 2\Echino\Echinogammarus_tot_2PRANK-PhyML_tre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cellini\Documents\IRSTEA\Projets\2018\2018-Barcoding_Tricho_Moll_Gamm\Analyse Round 2\Echino\Echinogammarus_tot_2PRANK-PhyML_tre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88" w:rsidRPr="008058CF" w:rsidRDefault="00D60588" w:rsidP="008058C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Figure1: Maximum likelihood phylogenetic tree run with 100 bootstraps based on </w:t>
      </w:r>
      <w:r w:rsidR="003B761F"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617</w:t>
      </w:r>
      <w:r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base pairs of the CO1 mitochondrial</w:t>
      </w:r>
      <w:r w:rsidR="003B761F" w:rsidRPr="008058C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marker.</w:t>
      </w:r>
    </w:p>
    <w:p w:rsidR="008058CF" w:rsidRDefault="008058CF" w:rsidP="00D6058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058CF" w:rsidRDefault="008058CF" w:rsidP="00D6058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8058CF">
        <w:rPr>
          <w:rFonts w:ascii="Times New Roman" w:hAnsi="Times New Roman" w:cs="Times New Roman"/>
          <w:b/>
          <w:lang w:val="en-US"/>
        </w:rPr>
        <w:t>References</w:t>
      </w:r>
    </w:p>
    <w:p w:rsidR="008058CF" w:rsidRPr="008058CF" w:rsidRDefault="008058CF" w:rsidP="00D6058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60588" w:rsidRPr="00502228" w:rsidRDefault="00D60588" w:rsidP="00D60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02228">
        <w:rPr>
          <w:rFonts w:ascii="Times New Roman" w:hAnsi="Times New Roman" w:cs="Times New Roman"/>
          <w:sz w:val="20"/>
          <w:szCs w:val="20"/>
          <w:lang w:val="en-US"/>
        </w:rPr>
        <w:t>Felsenstein</w:t>
      </w:r>
      <w:proofErr w:type="spellEnd"/>
      <w:r w:rsidRPr="00502228">
        <w:rPr>
          <w:rFonts w:ascii="Times New Roman" w:hAnsi="Times New Roman" w:cs="Times New Roman"/>
          <w:sz w:val="20"/>
          <w:szCs w:val="20"/>
          <w:lang w:val="en-US"/>
        </w:rPr>
        <w:t xml:space="preserve"> J (1985) Confidence limits on phylogenies: an approach using the bootstrap. Evolution 39:783-791</w:t>
      </w:r>
      <w:r w:rsidR="005022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60588" w:rsidRPr="00502228" w:rsidRDefault="00D60588" w:rsidP="00D60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1144" w:rsidRPr="00502228" w:rsidRDefault="00903845" w:rsidP="00903845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Folmer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O, </w:t>
      </w:r>
      <w:proofErr w:type="spellStart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Hoeh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Black MB, </w:t>
      </w:r>
      <w:proofErr w:type="spellStart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Vrijenhoek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R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(1994)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Conserved primers for PCR amplification of mitochondrial DNA from different invertebrate p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hyla. </w:t>
      </w:r>
      <w:proofErr w:type="spellStart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Mol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Mar </w:t>
      </w:r>
      <w:proofErr w:type="spellStart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Biol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Biotechnol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3: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294-299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D60588" w:rsidRPr="00502228" w:rsidRDefault="00D60588" w:rsidP="00903845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Löytynoja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A, Goldman N (2005) An algorithm for progressive multiple alignment of sequences with insertions. 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PNAS 102: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10557-10562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D60588" w:rsidRPr="00502228" w:rsidRDefault="00D60588" w:rsidP="00903845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Sanger F, Nicklen S, Coulson AR (1977) DNA sequencing with chain-terminating </w:t>
      </w:r>
      <w:proofErr w:type="spellStart"/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inhibitors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PNAS</w:t>
      </w:r>
      <w:proofErr w:type="spellEnd"/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74:</w:t>
      </w:r>
      <w:r w:rsidRP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5463-5467</w:t>
      </w:r>
      <w:r w:rsidR="005022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D60588" w:rsidRPr="00502228" w:rsidRDefault="00D60588" w:rsidP="00D6058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502228">
        <w:rPr>
          <w:rFonts w:ascii="Times New Roman" w:hAnsi="Times New Roman" w:cs="Times New Roman"/>
          <w:sz w:val="20"/>
          <w:szCs w:val="20"/>
          <w:lang w:val="en-US"/>
        </w:rPr>
        <w:t xml:space="preserve">Walsh PS, Metzger DA, Higuchi R (1991) </w:t>
      </w:r>
      <w:proofErr w:type="spellStart"/>
      <w:r w:rsidRPr="00502228">
        <w:rPr>
          <w:rFonts w:ascii="Times New Roman" w:hAnsi="Times New Roman" w:cs="Times New Roman"/>
          <w:sz w:val="20"/>
          <w:szCs w:val="20"/>
          <w:lang w:val="en-US"/>
        </w:rPr>
        <w:t>Chelex</w:t>
      </w:r>
      <w:proofErr w:type="spellEnd"/>
      <w:r w:rsidRPr="00502228">
        <w:rPr>
          <w:rFonts w:ascii="Times New Roman" w:hAnsi="Times New Roman" w:cs="Times New Roman"/>
          <w:sz w:val="20"/>
          <w:szCs w:val="20"/>
          <w:lang w:val="en-US"/>
        </w:rPr>
        <w:t xml:space="preserve"> 100 as a medium for simple extraction of DNA for PCR-based typing from forensic material. </w:t>
      </w:r>
      <w:proofErr w:type="spellStart"/>
      <w:r w:rsidR="00502228" w:rsidRPr="00502228">
        <w:rPr>
          <w:rFonts w:ascii="Times New Roman" w:hAnsi="Times New Roman" w:cs="Times New Roman"/>
          <w:sz w:val="20"/>
          <w:szCs w:val="20"/>
          <w:lang w:val="en-US"/>
        </w:rPr>
        <w:t>Biot</w:t>
      </w:r>
      <w:r w:rsidRPr="00502228">
        <w:rPr>
          <w:rFonts w:ascii="Times New Roman" w:hAnsi="Times New Roman" w:cs="Times New Roman"/>
          <w:sz w:val="20"/>
          <w:szCs w:val="20"/>
          <w:lang w:val="en-US"/>
        </w:rPr>
        <w:t>echniques</w:t>
      </w:r>
      <w:proofErr w:type="spellEnd"/>
      <w:r w:rsidR="00502228">
        <w:rPr>
          <w:rFonts w:ascii="Times New Roman" w:hAnsi="Times New Roman" w:cs="Times New Roman"/>
          <w:sz w:val="20"/>
          <w:szCs w:val="20"/>
          <w:lang w:val="en-US"/>
        </w:rPr>
        <w:t xml:space="preserve"> 10:</w:t>
      </w:r>
      <w:r w:rsidRPr="00502228">
        <w:rPr>
          <w:rFonts w:ascii="Times New Roman" w:hAnsi="Times New Roman" w:cs="Times New Roman"/>
          <w:sz w:val="20"/>
          <w:szCs w:val="20"/>
          <w:lang w:val="en-US"/>
        </w:rPr>
        <w:t>506–513</w:t>
      </w:r>
      <w:r w:rsidR="005022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D60588" w:rsidRPr="0050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7"/>
    <w:rsid w:val="00116B75"/>
    <w:rsid w:val="00271144"/>
    <w:rsid w:val="002E3146"/>
    <w:rsid w:val="003B761F"/>
    <w:rsid w:val="0041416D"/>
    <w:rsid w:val="00502228"/>
    <w:rsid w:val="00611069"/>
    <w:rsid w:val="008058CF"/>
    <w:rsid w:val="00903845"/>
    <w:rsid w:val="00992755"/>
    <w:rsid w:val="00B30A34"/>
    <w:rsid w:val="00D60588"/>
    <w:rsid w:val="00E67BC7"/>
    <w:rsid w:val="00F0300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9D67"/>
  <w15:docId w15:val="{8EAE4022-A7C5-4669-B73C-2BC5820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6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eospiza.com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Forcellini Maxence</dc:creator>
  <cp:keywords/>
  <dc:description/>
  <cp:lastModifiedBy>Arambourou Héléne</cp:lastModifiedBy>
  <cp:revision>5</cp:revision>
  <dcterms:created xsi:type="dcterms:W3CDTF">2018-06-15T14:57:00Z</dcterms:created>
  <dcterms:modified xsi:type="dcterms:W3CDTF">2018-06-25T13:17:00Z</dcterms:modified>
</cp:coreProperties>
</file>