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69" w:rsidRPr="00AC6264" w:rsidRDefault="00C34969" w:rsidP="000C062A">
      <w:pPr>
        <w:spacing w:after="240"/>
        <w:jc w:val="center"/>
        <w:rPr>
          <w:rFonts w:cs="Arial"/>
          <w:b/>
          <w:bCs/>
          <w:sz w:val="28"/>
          <w:szCs w:val="28"/>
          <w:lang w:val="en-US" w:eastAsia="es-ES"/>
        </w:rPr>
      </w:pPr>
      <w:r w:rsidRPr="00AC6264">
        <w:rPr>
          <w:rFonts w:cs="Arial"/>
          <w:b/>
          <w:bCs/>
          <w:sz w:val="28"/>
          <w:szCs w:val="28"/>
          <w:lang w:val="en-US" w:eastAsia="es-ES"/>
        </w:rPr>
        <w:t>THERMAL ANALYSIS (DSC, TGA) OF TEXTILE FLAME RETARDANTS WITH LOWER ENVIRONMENTAL IMPACT</w:t>
      </w:r>
    </w:p>
    <w:p w:rsidR="00412D1B" w:rsidRDefault="00412D1B" w:rsidP="000C062A">
      <w:pPr>
        <w:spacing w:after="240"/>
        <w:jc w:val="center"/>
        <w:rPr>
          <w:rStyle w:val="Authors"/>
          <w:rFonts w:cs="Arial"/>
          <w:sz w:val="24"/>
          <w:szCs w:val="24"/>
          <w:u w:val="single"/>
        </w:rPr>
      </w:pPr>
    </w:p>
    <w:p w:rsidR="00C34969" w:rsidRPr="003A3446" w:rsidRDefault="003533F4" w:rsidP="000C062A">
      <w:pPr>
        <w:spacing w:after="240"/>
        <w:jc w:val="center"/>
        <w:rPr>
          <w:rStyle w:val="Authors"/>
          <w:rFonts w:cs="Arial"/>
          <w:sz w:val="24"/>
          <w:szCs w:val="24"/>
          <w:vertAlign w:val="superscript"/>
        </w:rPr>
      </w:pPr>
      <w:r>
        <w:rPr>
          <w:rStyle w:val="Authors"/>
          <w:rFonts w:cs="Arial"/>
          <w:sz w:val="24"/>
          <w:szCs w:val="24"/>
        </w:rPr>
        <w:t xml:space="preserve">Pérez-Rentero, Sonia; </w:t>
      </w:r>
      <w:r w:rsidR="00C34969" w:rsidRPr="00AC6264">
        <w:rPr>
          <w:rStyle w:val="Authors"/>
          <w:rFonts w:cs="Arial"/>
          <w:sz w:val="24"/>
          <w:szCs w:val="24"/>
        </w:rPr>
        <w:t xml:space="preserve">Alonso, </w:t>
      </w:r>
      <w:r>
        <w:rPr>
          <w:rStyle w:val="Authors"/>
          <w:rFonts w:cs="Arial"/>
          <w:sz w:val="24"/>
          <w:szCs w:val="24"/>
        </w:rPr>
        <w:t>Cristina;</w:t>
      </w:r>
      <w:r w:rsidR="00C34969" w:rsidRPr="00AC6264">
        <w:rPr>
          <w:rStyle w:val="Authors"/>
          <w:rFonts w:cs="Arial"/>
          <w:sz w:val="24"/>
          <w:szCs w:val="24"/>
        </w:rPr>
        <w:t xml:space="preserve"> Coderch</w:t>
      </w:r>
      <w:r w:rsidR="00C34969">
        <w:rPr>
          <w:rStyle w:val="Authors"/>
          <w:rFonts w:cs="Arial"/>
          <w:sz w:val="24"/>
          <w:szCs w:val="24"/>
        </w:rPr>
        <w:t>,</w:t>
      </w:r>
      <w:r w:rsidR="00C34969" w:rsidRPr="00442FBC">
        <w:rPr>
          <w:rStyle w:val="Authors"/>
          <w:rFonts w:cs="Arial"/>
          <w:sz w:val="24"/>
          <w:szCs w:val="24"/>
        </w:rPr>
        <w:t xml:space="preserve"> </w:t>
      </w:r>
      <w:r w:rsidR="00C34969" w:rsidRPr="00AC6264">
        <w:rPr>
          <w:rStyle w:val="Authors"/>
          <w:rFonts w:cs="Arial"/>
          <w:sz w:val="24"/>
          <w:szCs w:val="24"/>
        </w:rPr>
        <w:t>L</w:t>
      </w:r>
      <w:r>
        <w:rPr>
          <w:rStyle w:val="Authors"/>
          <w:rFonts w:cs="Arial"/>
          <w:sz w:val="24"/>
          <w:szCs w:val="24"/>
        </w:rPr>
        <w:t>uisa;</w:t>
      </w:r>
      <w:r w:rsidR="004A73B2">
        <w:rPr>
          <w:rStyle w:val="Authors"/>
          <w:rFonts w:cs="Arial"/>
          <w:sz w:val="24"/>
          <w:szCs w:val="24"/>
        </w:rPr>
        <w:t xml:space="preserve"> </w:t>
      </w:r>
      <w:r w:rsidR="00C34969">
        <w:rPr>
          <w:rStyle w:val="Authors"/>
          <w:rFonts w:cs="Arial"/>
          <w:sz w:val="24"/>
          <w:szCs w:val="24"/>
        </w:rPr>
        <w:t>Martí,</w:t>
      </w:r>
      <w:r w:rsidR="00C34969" w:rsidRPr="00442FBC">
        <w:rPr>
          <w:rStyle w:val="Authors"/>
          <w:rFonts w:cs="Arial"/>
          <w:sz w:val="24"/>
          <w:szCs w:val="24"/>
        </w:rPr>
        <w:t xml:space="preserve"> </w:t>
      </w:r>
      <w:r w:rsidR="00C34969" w:rsidRPr="00AC6264">
        <w:rPr>
          <w:rStyle w:val="Authors"/>
          <w:rFonts w:cs="Arial"/>
          <w:sz w:val="24"/>
          <w:szCs w:val="24"/>
        </w:rPr>
        <w:t>M</w:t>
      </w:r>
      <w:r w:rsidR="00C34969">
        <w:rPr>
          <w:rStyle w:val="Authors"/>
          <w:rFonts w:cs="Arial"/>
          <w:sz w:val="24"/>
          <w:szCs w:val="24"/>
        </w:rPr>
        <w:t>eritxell</w:t>
      </w:r>
      <w:r w:rsidR="004A73B2">
        <w:rPr>
          <w:rStyle w:val="Authors"/>
          <w:rFonts w:cs="Arial"/>
          <w:sz w:val="24"/>
          <w:szCs w:val="24"/>
        </w:rPr>
        <w:t xml:space="preserve"> </w:t>
      </w:r>
      <w:proofErr w:type="spellStart"/>
      <w:r w:rsidR="004A73B2">
        <w:rPr>
          <w:rStyle w:val="Authors"/>
          <w:rFonts w:cs="Arial"/>
          <w:sz w:val="24"/>
          <w:szCs w:val="24"/>
        </w:rPr>
        <w:t>and</w:t>
      </w:r>
      <w:proofErr w:type="spellEnd"/>
      <w:r w:rsidR="004A73B2">
        <w:rPr>
          <w:rStyle w:val="Authors"/>
          <w:rFonts w:cs="Arial"/>
          <w:sz w:val="24"/>
          <w:szCs w:val="24"/>
        </w:rPr>
        <w:t xml:space="preserve"> Albert M. Manich</w:t>
      </w:r>
      <w:r w:rsidR="003A3446">
        <w:rPr>
          <w:rStyle w:val="Authors"/>
          <w:rFonts w:cs="Arial"/>
          <w:sz w:val="24"/>
          <w:szCs w:val="24"/>
          <w:vertAlign w:val="superscript"/>
        </w:rPr>
        <w:t>*</w:t>
      </w:r>
    </w:p>
    <w:p w:rsidR="00C34969" w:rsidRPr="00E47157" w:rsidRDefault="00C34969" w:rsidP="000C062A">
      <w:pPr>
        <w:pStyle w:val="Encabezado"/>
        <w:spacing w:line="240" w:lineRule="auto"/>
        <w:jc w:val="center"/>
        <w:rPr>
          <w:rFonts w:ascii="Calibri" w:hAnsi="Calibri"/>
          <w:i/>
          <w:color w:val="444444"/>
          <w:szCs w:val="24"/>
          <w:shd w:val="clear" w:color="auto" w:fill="FFFFFF"/>
          <w:lang w:val="en-US"/>
        </w:rPr>
      </w:pPr>
      <w:r w:rsidRPr="00E47157">
        <w:rPr>
          <w:rFonts w:ascii="Calibri" w:hAnsi="Calibri"/>
          <w:i/>
          <w:color w:val="444444"/>
          <w:szCs w:val="24"/>
          <w:shd w:val="clear" w:color="auto" w:fill="FFFFFF"/>
          <w:lang w:val="en-US"/>
        </w:rPr>
        <w:t xml:space="preserve">Institute of Advanced Chemistry of </w:t>
      </w:r>
      <w:smartTag w:uri="urn:schemas-microsoft-com:office:smarttags" w:element="State">
        <w:r w:rsidRPr="00E47157">
          <w:rPr>
            <w:rFonts w:ascii="Calibri" w:hAnsi="Calibri"/>
            <w:i/>
            <w:color w:val="444444"/>
            <w:szCs w:val="24"/>
            <w:shd w:val="clear" w:color="auto" w:fill="FFFFFF"/>
            <w:lang w:val="en-US"/>
          </w:rPr>
          <w:t>Catalonia</w:t>
        </w:r>
      </w:smartTag>
      <w:r w:rsidRPr="00E47157">
        <w:rPr>
          <w:rFonts w:ascii="Calibri" w:hAnsi="Calibri"/>
          <w:i/>
          <w:color w:val="444444"/>
          <w:szCs w:val="24"/>
          <w:shd w:val="clear" w:color="auto" w:fill="FFFFFF"/>
          <w:lang w:val="en-US"/>
        </w:rPr>
        <w:t xml:space="preserve">, IQAC-CSIC, </w:t>
      </w:r>
      <w:smartTag w:uri="urn:schemas-microsoft-com:office:smarttags" w:element="place">
        <w:smartTag w:uri="urn:schemas-microsoft-com:office:smarttags" w:element="City">
          <w:r w:rsidRPr="00E47157">
            <w:rPr>
              <w:rFonts w:ascii="Calibri" w:hAnsi="Calibri"/>
              <w:i/>
              <w:color w:val="444444"/>
              <w:szCs w:val="24"/>
              <w:shd w:val="clear" w:color="auto" w:fill="FFFFFF"/>
              <w:lang w:val="en-US"/>
            </w:rPr>
            <w:t>Barcelona</w:t>
          </w:r>
        </w:smartTag>
        <w:r w:rsidRPr="00E47157">
          <w:rPr>
            <w:rFonts w:ascii="Calibri" w:hAnsi="Calibri"/>
            <w:i/>
            <w:color w:val="444444"/>
            <w:szCs w:val="24"/>
            <w:shd w:val="clear" w:color="auto" w:fill="FFFFFF"/>
            <w:lang w:val="en-US"/>
          </w:rPr>
          <w:t xml:space="preserve">, </w:t>
        </w:r>
        <w:smartTag w:uri="urn:schemas-microsoft-com:office:smarttags" w:element="country-region">
          <w:r w:rsidRPr="00E47157">
            <w:rPr>
              <w:rFonts w:ascii="Calibri" w:hAnsi="Calibri"/>
              <w:i/>
              <w:color w:val="444444"/>
              <w:szCs w:val="24"/>
              <w:shd w:val="clear" w:color="auto" w:fill="FFFFFF"/>
              <w:lang w:val="en-US"/>
            </w:rPr>
            <w:t>Spain</w:t>
          </w:r>
        </w:smartTag>
      </w:smartTag>
    </w:p>
    <w:p w:rsidR="00C34969" w:rsidRPr="004A73B2" w:rsidRDefault="00B9638A" w:rsidP="000C062A">
      <w:pPr>
        <w:pStyle w:val="Addresse-mail"/>
        <w:spacing w:before="60"/>
        <w:rPr>
          <w:rFonts w:ascii="Calibri" w:hAnsi="Calibri" w:cs="Arial"/>
          <w:sz w:val="20"/>
          <w:lang w:val="en-US"/>
        </w:rPr>
      </w:pPr>
      <w:hyperlink r:id="rId5" w:history="1">
        <w:r w:rsidR="00C34969" w:rsidRPr="004A73B2">
          <w:rPr>
            <w:rStyle w:val="Hipervnculo"/>
            <w:rFonts w:ascii="Calibri" w:hAnsi="Calibri" w:cs="Arial"/>
            <w:color w:val="auto"/>
            <w:sz w:val="20"/>
            <w:u w:val="none"/>
            <w:lang w:val="en-US"/>
          </w:rPr>
          <w:t>albert.manich@iqac.csic.es</w:t>
        </w:r>
      </w:hyperlink>
    </w:p>
    <w:p w:rsidR="00C34969" w:rsidRDefault="00C34969" w:rsidP="00DD52F3">
      <w:pPr>
        <w:spacing w:before="120" w:after="120"/>
        <w:ind w:right="-1"/>
        <w:jc w:val="both"/>
        <w:rPr>
          <w:b/>
          <w:bCs/>
          <w:sz w:val="24"/>
          <w:szCs w:val="24"/>
          <w:lang w:val="en-US"/>
        </w:rPr>
      </w:pPr>
    </w:p>
    <w:p w:rsidR="00C34969" w:rsidRPr="00DD52F3" w:rsidRDefault="00C34969" w:rsidP="00DD52F3">
      <w:pPr>
        <w:spacing w:before="120" w:after="120"/>
        <w:ind w:right="-1"/>
        <w:jc w:val="both"/>
        <w:rPr>
          <w:b/>
          <w:bCs/>
          <w:sz w:val="24"/>
          <w:szCs w:val="24"/>
          <w:lang w:val="en-US"/>
        </w:rPr>
      </w:pPr>
      <w:r w:rsidRPr="00DD52F3">
        <w:rPr>
          <w:b/>
          <w:bCs/>
          <w:sz w:val="24"/>
          <w:szCs w:val="24"/>
          <w:lang w:val="en-US"/>
        </w:rPr>
        <w:t>ABSTRACT:</w:t>
      </w:r>
    </w:p>
    <w:p w:rsidR="00C34969" w:rsidRPr="00DD52F3" w:rsidRDefault="00C34969" w:rsidP="00DD52F3">
      <w:pPr>
        <w:spacing w:before="120" w:after="120"/>
        <w:ind w:right="-1"/>
        <w:jc w:val="both"/>
        <w:rPr>
          <w:bCs/>
          <w:sz w:val="24"/>
          <w:szCs w:val="24"/>
          <w:lang w:val="en-US"/>
        </w:rPr>
      </w:pPr>
      <w:r w:rsidRPr="00DD52F3">
        <w:rPr>
          <w:bCs/>
          <w:sz w:val="24"/>
          <w:szCs w:val="24"/>
          <w:lang w:val="en-US"/>
        </w:rPr>
        <w:t xml:space="preserve">Flame Retardants (FR) are a group of anthropogenic environmental contaminants used </w:t>
      </w:r>
      <w:r w:rsidRPr="00164AE6">
        <w:rPr>
          <w:bCs/>
          <w:sz w:val="24"/>
          <w:szCs w:val="24"/>
          <w:lang w:val="en-US"/>
        </w:rPr>
        <w:t xml:space="preserve">at </w:t>
      </w:r>
      <w:r>
        <w:rPr>
          <w:bCs/>
          <w:sz w:val="24"/>
          <w:szCs w:val="24"/>
          <w:lang w:val="en-US"/>
        </w:rPr>
        <w:t>a</w:t>
      </w:r>
      <w:r w:rsidRPr="00DD52F3">
        <w:rPr>
          <w:bCs/>
          <w:sz w:val="24"/>
          <w:szCs w:val="24"/>
          <w:lang w:val="en-US"/>
        </w:rPr>
        <w:t xml:space="preserve"> relatively high concentration in many applications. Currently, the largest marked group of FRs is brominated FR, and many of them are considered toxic, persistent and </w:t>
      </w:r>
      <w:proofErr w:type="spellStart"/>
      <w:r w:rsidRPr="00DD52F3">
        <w:rPr>
          <w:bCs/>
          <w:sz w:val="24"/>
          <w:szCs w:val="24"/>
          <w:lang w:val="en-US"/>
        </w:rPr>
        <w:t>bioaccumulative</w:t>
      </w:r>
      <w:proofErr w:type="spellEnd"/>
      <w:r w:rsidRPr="00DD52F3">
        <w:rPr>
          <w:bCs/>
          <w:sz w:val="24"/>
          <w:szCs w:val="24"/>
          <w:lang w:val="en-US"/>
        </w:rPr>
        <w:t>. Non-halogenated alternatives are a possible solution for the problem, but there is a lack of knowledge concerning environmental impact, health risks during the production process and at final use</w:t>
      </w:r>
      <w:r w:rsidR="009F28C3">
        <w:rPr>
          <w:bCs/>
          <w:sz w:val="24"/>
          <w:szCs w:val="24"/>
          <w:lang w:val="en-US"/>
        </w:rPr>
        <w:t xml:space="preserve"> </w:t>
      </w:r>
      <w:r w:rsidR="009F28C3">
        <w:rPr>
          <w:sz w:val="24"/>
          <w:szCs w:val="24"/>
          <w:lang w:val="en-US"/>
        </w:rPr>
        <w:t>[1]</w:t>
      </w:r>
      <w:r w:rsidR="003B7389">
        <w:rPr>
          <w:sz w:val="24"/>
          <w:szCs w:val="24"/>
          <w:lang w:val="en-US"/>
        </w:rPr>
        <w:t>,</w:t>
      </w:r>
      <w:r w:rsidR="006D5CFF">
        <w:rPr>
          <w:sz w:val="24"/>
          <w:szCs w:val="24"/>
          <w:lang w:val="en-US"/>
        </w:rPr>
        <w:t xml:space="preserve"> </w:t>
      </w:r>
      <w:r w:rsidR="003B7389">
        <w:rPr>
          <w:sz w:val="24"/>
          <w:szCs w:val="24"/>
          <w:lang w:val="en-US"/>
        </w:rPr>
        <w:t>[2]</w:t>
      </w:r>
      <w:r w:rsidR="003B7389">
        <w:rPr>
          <w:bCs/>
          <w:sz w:val="24"/>
          <w:szCs w:val="24"/>
          <w:lang w:val="en-US"/>
        </w:rPr>
        <w:t>.</w:t>
      </w:r>
    </w:p>
    <w:p w:rsidR="00C34969" w:rsidRPr="00C14E3C" w:rsidRDefault="00C34969" w:rsidP="00AC6264">
      <w:pPr>
        <w:jc w:val="both"/>
        <w:rPr>
          <w:sz w:val="24"/>
          <w:szCs w:val="24"/>
          <w:lang w:val="en-US"/>
        </w:rPr>
      </w:pPr>
      <w:r w:rsidRPr="00C14E3C">
        <w:rPr>
          <w:sz w:val="24"/>
          <w:szCs w:val="24"/>
          <w:lang w:val="en-US"/>
        </w:rPr>
        <w:t xml:space="preserve">The main objective of this work is the mitigation of the environmental and human health </w:t>
      </w:r>
      <w:r w:rsidRPr="00164AE6">
        <w:rPr>
          <w:sz w:val="24"/>
          <w:szCs w:val="24"/>
          <w:lang w:val="en-US"/>
        </w:rPr>
        <w:t>impacts</w:t>
      </w:r>
      <w:r>
        <w:rPr>
          <w:sz w:val="24"/>
          <w:szCs w:val="24"/>
          <w:lang w:val="en-US"/>
        </w:rPr>
        <w:t xml:space="preserve"> </w:t>
      </w:r>
      <w:r w:rsidRPr="00C14E3C">
        <w:rPr>
          <w:sz w:val="24"/>
          <w:szCs w:val="24"/>
          <w:lang w:val="en-US"/>
        </w:rPr>
        <w:t xml:space="preserve">of flame retardants in textile applications, </w:t>
      </w:r>
      <w:r w:rsidRPr="00164AE6">
        <w:rPr>
          <w:sz w:val="24"/>
          <w:szCs w:val="24"/>
          <w:lang w:val="en-US"/>
        </w:rPr>
        <w:t>based on</w:t>
      </w:r>
      <w:r w:rsidRPr="00E34BBD">
        <w:rPr>
          <w:color w:val="FF0000"/>
          <w:sz w:val="24"/>
          <w:szCs w:val="24"/>
          <w:lang w:val="en-US"/>
        </w:rPr>
        <w:t xml:space="preserve"> </w:t>
      </w:r>
      <w:r w:rsidRPr="00C14E3C">
        <w:rPr>
          <w:sz w:val="24"/>
          <w:szCs w:val="24"/>
          <w:lang w:val="en-US"/>
        </w:rPr>
        <w:t xml:space="preserve">substances </w:t>
      </w:r>
      <w:r>
        <w:rPr>
          <w:sz w:val="24"/>
          <w:szCs w:val="24"/>
          <w:lang w:val="en-US"/>
        </w:rPr>
        <w:t xml:space="preserve">with </w:t>
      </w:r>
      <w:r w:rsidRPr="00C14E3C">
        <w:rPr>
          <w:sz w:val="24"/>
          <w:szCs w:val="24"/>
          <w:lang w:val="en-US"/>
        </w:rPr>
        <w:t>toxic compounds resulting from the flame retardants (FR) of finishing for textiles, which contain bromide, formaldehyde and antimony. The application of thermal analysis allows</w:t>
      </w:r>
      <w:r w:rsidRPr="00164AE6">
        <w:rPr>
          <w:sz w:val="24"/>
          <w:szCs w:val="24"/>
          <w:lang w:val="en-US"/>
        </w:rPr>
        <w:t xml:space="preserve"> the</w:t>
      </w:r>
      <w:r>
        <w:rPr>
          <w:sz w:val="24"/>
          <w:szCs w:val="24"/>
          <w:lang w:val="en-US"/>
        </w:rPr>
        <w:t xml:space="preserve"> </w:t>
      </w:r>
      <w:r w:rsidRPr="00C14E3C">
        <w:rPr>
          <w:sz w:val="24"/>
          <w:szCs w:val="24"/>
          <w:lang w:val="en-US"/>
        </w:rPr>
        <w:t>determin</w:t>
      </w:r>
      <w:r w:rsidRPr="00164AE6">
        <w:rPr>
          <w:sz w:val="24"/>
          <w:szCs w:val="24"/>
          <w:lang w:val="en-US"/>
        </w:rPr>
        <w:t>ation</w:t>
      </w:r>
      <w:r>
        <w:rPr>
          <w:color w:val="FF0000"/>
          <w:sz w:val="24"/>
          <w:szCs w:val="24"/>
          <w:lang w:val="en-US"/>
        </w:rPr>
        <w:t xml:space="preserve"> </w:t>
      </w:r>
      <w:r w:rsidRPr="00164AE6">
        <w:rPr>
          <w:sz w:val="24"/>
          <w:szCs w:val="24"/>
          <w:lang w:val="en-US"/>
        </w:rPr>
        <w:t xml:space="preserve">of </w:t>
      </w:r>
      <w:r w:rsidRPr="00C14E3C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FR </w:t>
      </w:r>
      <w:r w:rsidRPr="00164AE6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ffectiveness</w:t>
      </w:r>
      <w:r w:rsidRPr="00C14E3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when </w:t>
      </w:r>
      <w:r w:rsidR="009F28C3">
        <w:rPr>
          <w:sz w:val="24"/>
          <w:szCs w:val="24"/>
          <w:lang w:val="en-US"/>
        </w:rPr>
        <w:t>applied to textiles</w:t>
      </w:r>
      <w:r w:rsidR="009F28C3" w:rsidRPr="009F28C3">
        <w:rPr>
          <w:sz w:val="24"/>
          <w:szCs w:val="24"/>
          <w:lang w:val="en-US"/>
        </w:rPr>
        <w:t xml:space="preserve"> </w:t>
      </w:r>
      <w:r w:rsidR="003B7389">
        <w:rPr>
          <w:sz w:val="24"/>
          <w:szCs w:val="24"/>
          <w:lang w:val="en-US"/>
        </w:rPr>
        <w:t>[3</w:t>
      </w:r>
      <w:r w:rsidR="009F28C3">
        <w:rPr>
          <w:sz w:val="24"/>
          <w:szCs w:val="24"/>
          <w:lang w:val="en-US"/>
        </w:rPr>
        <w:t>]-</w:t>
      </w:r>
      <w:r w:rsidR="003B7389">
        <w:rPr>
          <w:sz w:val="24"/>
          <w:szCs w:val="24"/>
          <w:lang w:val="en-US"/>
        </w:rPr>
        <w:t>[6</w:t>
      </w:r>
      <w:r w:rsidR="009F28C3">
        <w:rPr>
          <w:sz w:val="24"/>
          <w:szCs w:val="24"/>
          <w:lang w:val="en-US"/>
        </w:rPr>
        <w:t>]</w:t>
      </w:r>
      <w:r w:rsidR="009F28C3" w:rsidRPr="00DD52F3">
        <w:rPr>
          <w:bCs/>
          <w:sz w:val="24"/>
          <w:szCs w:val="24"/>
          <w:lang w:val="en-US"/>
        </w:rPr>
        <w:t>.</w:t>
      </w:r>
    </w:p>
    <w:p w:rsidR="00C34969" w:rsidRPr="00C14E3C" w:rsidRDefault="00C34969" w:rsidP="00AC6264">
      <w:pPr>
        <w:jc w:val="both"/>
        <w:rPr>
          <w:sz w:val="24"/>
          <w:szCs w:val="24"/>
          <w:lang w:val="en-US"/>
        </w:rPr>
      </w:pPr>
      <w:r w:rsidRPr="00C14E3C">
        <w:rPr>
          <w:sz w:val="24"/>
          <w:szCs w:val="24"/>
          <w:lang w:val="en-US"/>
        </w:rPr>
        <w:t>In the framework of the LIFE-FLAREX project, new, more ecological and healthy alternatives are being proposed, and thermal stability determinations have been made by DSC and TGA to</w:t>
      </w:r>
      <w:r w:rsidRPr="00164AE6">
        <w:rPr>
          <w:sz w:val="24"/>
          <w:szCs w:val="24"/>
          <w:lang w:val="en-US"/>
        </w:rPr>
        <w:t xml:space="preserve"> assess </w:t>
      </w:r>
      <w:r w:rsidRPr="00C14E3C">
        <w:rPr>
          <w:sz w:val="24"/>
          <w:szCs w:val="24"/>
          <w:lang w:val="en-US"/>
        </w:rPr>
        <w:t xml:space="preserve">their effectiveness. In this work, the technique of determining the thermal stability of the new FR using a 50/50 cotton/polyester fabric </w:t>
      </w:r>
      <w:r w:rsidRPr="00164AE6">
        <w:rPr>
          <w:sz w:val="24"/>
          <w:szCs w:val="24"/>
          <w:lang w:val="en-US"/>
        </w:rPr>
        <w:t>has been</w:t>
      </w:r>
      <w:r>
        <w:rPr>
          <w:sz w:val="24"/>
          <w:szCs w:val="24"/>
          <w:lang w:val="en-US"/>
        </w:rPr>
        <w:t xml:space="preserve"> </w:t>
      </w:r>
      <w:r w:rsidRPr="00C14E3C">
        <w:rPr>
          <w:sz w:val="24"/>
          <w:szCs w:val="24"/>
          <w:lang w:val="en-US"/>
        </w:rPr>
        <w:t>developed.</w:t>
      </w:r>
    </w:p>
    <w:p w:rsidR="00C34969" w:rsidRPr="00C14E3C" w:rsidRDefault="00C34969" w:rsidP="00AC626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thermal behavior of </w:t>
      </w:r>
      <w:r w:rsidRPr="00164AE6">
        <w:rPr>
          <w:sz w:val="24"/>
          <w:szCs w:val="24"/>
          <w:lang w:val="en-US"/>
        </w:rPr>
        <w:t>cotton/polyester fabric</w:t>
      </w:r>
      <w:r>
        <w:rPr>
          <w:sz w:val="24"/>
          <w:szCs w:val="24"/>
          <w:lang w:val="en-US"/>
        </w:rPr>
        <w:t xml:space="preserve">, ammonium sulfamate and guanidine phosphate has been studied by DSC and TGA. Also the thermal behavior of fabrics treated with 15% of FR based on </w:t>
      </w:r>
      <w:r w:rsidRPr="00C14E3C">
        <w:rPr>
          <w:sz w:val="24"/>
          <w:szCs w:val="24"/>
          <w:lang w:val="en-US"/>
        </w:rPr>
        <w:t>ammonium polyphosphate</w:t>
      </w:r>
      <w:r>
        <w:rPr>
          <w:sz w:val="24"/>
          <w:szCs w:val="24"/>
          <w:lang w:val="en-US"/>
        </w:rPr>
        <w:t xml:space="preserve">, 20% of FR based on </w:t>
      </w:r>
      <w:r w:rsidRPr="00C14E3C">
        <w:rPr>
          <w:sz w:val="24"/>
          <w:szCs w:val="24"/>
          <w:lang w:val="en-US"/>
        </w:rPr>
        <w:t>guanidine phosphate</w:t>
      </w:r>
      <w:r>
        <w:rPr>
          <w:sz w:val="24"/>
          <w:szCs w:val="24"/>
          <w:lang w:val="en-US"/>
        </w:rPr>
        <w:t xml:space="preserve"> and 11% of FR based on </w:t>
      </w:r>
      <w:r w:rsidRPr="00C14E3C">
        <w:rPr>
          <w:sz w:val="24"/>
          <w:szCs w:val="24"/>
          <w:lang w:val="en-US"/>
        </w:rPr>
        <w:t>ammonium sulfamate</w:t>
      </w:r>
      <w:r>
        <w:rPr>
          <w:sz w:val="24"/>
          <w:szCs w:val="24"/>
          <w:lang w:val="en-US"/>
        </w:rPr>
        <w:t xml:space="preserve"> have been analyzed.</w:t>
      </w:r>
    </w:p>
    <w:p w:rsidR="00C34969" w:rsidRPr="00C14E3C" w:rsidRDefault="00C34969" w:rsidP="00AC6264">
      <w:pPr>
        <w:jc w:val="both"/>
        <w:rPr>
          <w:sz w:val="24"/>
          <w:szCs w:val="24"/>
          <w:lang w:val="en-US"/>
        </w:rPr>
      </w:pPr>
      <w:r w:rsidRPr="00C14E3C">
        <w:rPr>
          <w:sz w:val="24"/>
          <w:szCs w:val="24"/>
          <w:lang w:val="en-US"/>
        </w:rPr>
        <w:t xml:space="preserve">The thermal characterization of the 50/50 cotton/polyester fabrics containing the three flame retardants </w:t>
      </w:r>
      <w:r>
        <w:rPr>
          <w:sz w:val="24"/>
          <w:szCs w:val="24"/>
          <w:lang w:val="en-US"/>
        </w:rPr>
        <w:t>has been</w:t>
      </w:r>
      <w:r w:rsidRPr="00C14E3C">
        <w:rPr>
          <w:sz w:val="24"/>
          <w:szCs w:val="24"/>
          <w:lang w:val="en-US"/>
        </w:rPr>
        <w:t xml:space="preserve"> carried out and the thermal stability results </w:t>
      </w:r>
      <w:r>
        <w:rPr>
          <w:sz w:val="24"/>
          <w:szCs w:val="24"/>
          <w:lang w:val="en-US"/>
        </w:rPr>
        <w:t>have been</w:t>
      </w:r>
      <w:r w:rsidRPr="00C14E3C">
        <w:rPr>
          <w:sz w:val="24"/>
          <w:szCs w:val="24"/>
          <w:lang w:val="en-US"/>
        </w:rPr>
        <w:t xml:space="preserve"> compared </w:t>
      </w:r>
      <w:r>
        <w:rPr>
          <w:sz w:val="24"/>
          <w:szCs w:val="24"/>
          <w:lang w:val="en-US"/>
        </w:rPr>
        <w:t xml:space="preserve">with that of the untreated fabric </w:t>
      </w:r>
      <w:r w:rsidRPr="00C14E3C">
        <w:rPr>
          <w:sz w:val="24"/>
          <w:szCs w:val="24"/>
          <w:lang w:val="en-US"/>
        </w:rPr>
        <w:t xml:space="preserve">to assess their performance. </w:t>
      </w:r>
      <w:r>
        <w:rPr>
          <w:sz w:val="24"/>
          <w:szCs w:val="24"/>
          <w:lang w:val="en-US"/>
        </w:rPr>
        <w:t xml:space="preserve">The </w:t>
      </w:r>
      <w:r w:rsidRPr="00C14E3C">
        <w:rPr>
          <w:sz w:val="24"/>
          <w:szCs w:val="24"/>
          <w:lang w:val="en-US"/>
        </w:rPr>
        <w:t xml:space="preserve">delays induced </w:t>
      </w:r>
      <w:r>
        <w:rPr>
          <w:sz w:val="24"/>
          <w:szCs w:val="24"/>
          <w:lang w:val="en-US"/>
        </w:rPr>
        <w:t xml:space="preserve">by the FR </w:t>
      </w:r>
      <w:r w:rsidRPr="00C14E3C">
        <w:rPr>
          <w:sz w:val="24"/>
          <w:szCs w:val="24"/>
          <w:lang w:val="en-US"/>
        </w:rPr>
        <w:t xml:space="preserve">in the </w:t>
      </w:r>
      <w:r>
        <w:rPr>
          <w:sz w:val="24"/>
          <w:szCs w:val="24"/>
          <w:lang w:val="en-US"/>
        </w:rPr>
        <w:t xml:space="preserve">different </w:t>
      </w:r>
      <w:r w:rsidRPr="00C14E3C">
        <w:rPr>
          <w:sz w:val="24"/>
          <w:szCs w:val="24"/>
          <w:lang w:val="en-US"/>
        </w:rPr>
        <w:t xml:space="preserve">stages of the decomposition </w:t>
      </w:r>
      <w:r>
        <w:rPr>
          <w:sz w:val="24"/>
          <w:szCs w:val="24"/>
          <w:lang w:val="en-US"/>
        </w:rPr>
        <w:t xml:space="preserve">and the lags induced on first order thermal transitions are evaluated to assess the effectiveness of the new </w:t>
      </w:r>
      <w:proofErr w:type="spellStart"/>
      <w:r>
        <w:rPr>
          <w:sz w:val="24"/>
          <w:szCs w:val="24"/>
          <w:lang w:val="en-US"/>
        </w:rPr>
        <w:t>FRs.</w:t>
      </w:r>
      <w:proofErr w:type="spellEnd"/>
    </w:p>
    <w:p w:rsidR="00C34969" w:rsidRDefault="00C34969" w:rsidP="00AC6264">
      <w:pPr>
        <w:spacing w:after="240"/>
        <w:jc w:val="both"/>
        <w:rPr>
          <w:b/>
          <w:sz w:val="24"/>
          <w:szCs w:val="24"/>
          <w:lang w:val="en-US"/>
        </w:rPr>
      </w:pPr>
      <w:bookmarkStart w:id="0" w:name="_GoBack"/>
      <w:bookmarkEnd w:id="0"/>
      <w:r w:rsidRPr="00C14E3C">
        <w:rPr>
          <w:b/>
          <w:sz w:val="24"/>
          <w:szCs w:val="24"/>
          <w:lang w:val="en-US"/>
        </w:rPr>
        <w:lastRenderedPageBreak/>
        <w:t>References</w:t>
      </w:r>
    </w:p>
    <w:p w:rsidR="00393167" w:rsidRPr="00C14E3C" w:rsidRDefault="00393167" w:rsidP="00AC6264">
      <w:pPr>
        <w:spacing w:after="240"/>
        <w:jc w:val="both"/>
        <w:rPr>
          <w:b/>
          <w:sz w:val="24"/>
          <w:szCs w:val="24"/>
          <w:lang w:val="en-US"/>
        </w:rPr>
      </w:pPr>
    </w:p>
    <w:p w:rsidR="00323F2C" w:rsidRPr="00323F2C" w:rsidRDefault="00323F2C" w:rsidP="00323F2C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[1] </w:t>
      </w:r>
      <w:r>
        <w:rPr>
          <w:sz w:val="24"/>
          <w:szCs w:val="24"/>
          <w:lang w:val="en-US"/>
        </w:rPr>
        <w:t xml:space="preserve">A.B. Morgan, </w:t>
      </w:r>
      <w:r w:rsidRPr="00393167">
        <w:rPr>
          <w:i/>
          <w:sz w:val="24"/>
          <w:szCs w:val="24"/>
          <w:lang w:val="en-US"/>
        </w:rPr>
        <w:t>Polymer Reviews</w:t>
      </w:r>
      <w:r>
        <w:rPr>
          <w:sz w:val="24"/>
          <w:szCs w:val="24"/>
          <w:lang w:val="en-US"/>
        </w:rPr>
        <w:t xml:space="preserve">, </w:t>
      </w:r>
      <w:r w:rsidRPr="00393167">
        <w:rPr>
          <w:b/>
          <w:sz w:val="24"/>
          <w:szCs w:val="24"/>
          <w:lang w:val="en-US"/>
        </w:rPr>
        <w:t>2018</w:t>
      </w:r>
      <w:r>
        <w:rPr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59:1</w:t>
      </w:r>
      <w:r>
        <w:rPr>
          <w:sz w:val="24"/>
          <w:szCs w:val="24"/>
          <w:lang w:val="en-US"/>
        </w:rPr>
        <w:t>, 25-54</w:t>
      </w:r>
    </w:p>
    <w:p w:rsidR="00C34969" w:rsidRPr="00323F2C" w:rsidRDefault="00323F2C" w:rsidP="00323F2C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[2] N. Illy, M. </w:t>
      </w:r>
      <w:proofErr w:type="spellStart"/>
      <w:r>
        <w:rPr>
          <w:sz w:val="24"/>
          <w:szCs w:val="24"/>
          <w:lang w:val="en-US"/>
        </w:rPr>
        <w:t>Fache</w:t>
      </w:r>
      <w:proofErr w:type="spellEnd"/>
      <w:r>
        <w:rPr>
          <w:sz w:val="24"/>
          <w:szCs w:val="24"/>
          <w:lang w:val="en-US"/>
        </w:rPr>
        <w:t xml:space="preserve">, R. </w:t>
      </w:r>
      <w:proofErr w:type="spellStart"/>
      <w:r>
        <w:rPr>
          <w:sz w:val="24"/>
          <w:szCs w:val="24"/>
          <w:lang w:val="en-US"/>
        </w:rPr>
        <w:t>Ménard</w:t>
      </w:r>
      <w:proofErr w:type="spellEnd"/>
      <w:r>
        <w:rPr>
          <w:sz w:val="24"/>
          <w:szCs w:val="24"/>
          <w:lang w:val="en-US"/>
        </w:rPr>
        <w:t xml:space="preserve">, C. </w:t>
      </w:r>
      <w:proofErr w:type="spellStart"/>
      <w:r>
        <w:rPr>
          <w:sz w:val="24"/>
          <w:szCs w:val="24"/>
          <w:lang w:val="en-US"/>
        </w:rPr>
        <w:t>Negrell</w:t>
      </w:r>
      <w:proofErr w:type="spellEnd"/>
      <w:r>
        <w:rPr>
          <w:sz w:val="24"/>
          <w:szCs w:val="24"/>
          <w:lang w:val="en-US"/>
        </w:rPr>
        <w:t xml:space="preserve">, S. </w:t>
      </w:r>
      <w:proofErr w:type="spellStart"/>
      <w:r>
        <w:rPr>
          <w:sz w:val="24"/>
          <w:szCs w:val="24"/>
          <w:lang w:val="en-US"/>
        </w:rPr>
        <w:t>Caillol</w:t>
      </w:r>
      <w:proofErr w:type="spellEnd"/>
      <w:r>
        <w:rPr>
          <w:sz w:val="24"/>
          <w:szCs w:val="24"/>
          <w:lang w:val="en-US"/>
        </w:rPr>
        <w:t xml:space="preserve">, G. David; </w:t>
      </w:r>
      <w:r>
        <w:rPr>
          <w:i/>
          <w:sz w:val="24"/>
          <w:szCs w:val="24"/>
          <w:lang w:val="en-US"/>
        </w:rPr>
        <w:t>Polymer Chemistry</w:t>
      </w:r>
      <w:r>
        <w:rPr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2015</w:t>
      </w:r>
      <w:r>
        <w:rPr>
          <w:sz w:val="24"/>
          <w:szCs w:val="24"/>
          <w:lang w:val="en-US"/>
        </w:rPr>
        <w:t xml:space="preserve">, </w:t>
      </w:r>
      <w:r>
        <w:rPr>
          <w:i/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>, 6257-6291</w:t>
      </w:r>
    </w:p>
    <w:p w:rsidR="0028487F" w:rsidRPr="00323F2C" w:rsidRDefault="00323F2C" w:rsidP="0028487F">
      <w:p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[3</w:t>
      </w:r>
      <w:r w:rsidR="0028487F" w:rsidRPr="00323F2C">
        <w:rPr>
          <w:sz w:val="24"/>
          <w:szCs w:val="24"/>
          <w:lang w:val="en-GB"/>
        </w:rPr>
        <w:t xml:space="preserve">] J. </w:t>
      </w:r>
      <w:proofErr w:type="spellStart"/>
      <w:r w:rsidR="0028487F" w:rsidRPr="00323F2C">
        <w:rPr>
          <w:sz w:val="24"/>
          <w:szCs w:val="24"/>
          <w:lang w:val="en-GB"/>
        </w:rPr>
        <w:t>Alongi</w:t>
      </w:r>
      <w:proofErr w:type="spellEnd"/>
      <w:r w:rsidR="0028487F" w:rsidRPr="00323F2C">
        <w:rPr>
          <w:sz w:val="24"/>
          <w:szCs w:val="24"/>
          <w:lang w:val="en-GB"/>
        </w:rPr>
        <w:t xml:space="preserve">, F. </w:t>
      </w:r>
      <w:proofErr w:type="spellStart"/>
      <w:r w:rsidR="0028487F" w:rsidRPr="00323F2C">
        <w:rPr>
          <w:sz w:val="24"/>
          <w:szCs w:val="24"/>
          <w:lang w:val="en-GB"/>
        </w:rPr>
        <w:t>Carosio</w:t>
      </w:r>
      <w:proofErr w:type="spellEnd"/>
      <w:r w:rsidR="0028487F" w:rsidRPr="00323F2C">
        <w:rPr>
          <w:sz w:val="24"/>
          <w:szCs w:val="24"/>
          <w:lang w:val="en-GB"/>
        </w:rPr>
        <w:t xml:space="preserve">, G. </w:t>
      </w:r>
      <w:proofErr w:type="spellStart"/>
      <w:r w:rsidR="0028487F" w:rsidRPr="00323F2C">
        <w:rPr>
          <w:sz w:val="24"/>
          <w:szCs w:val="24"/>
          <w:lang w:val="en-GB"/>
        </w:rPr>
        <w:t>Malucelli</w:t>
      </w:r>
      <w:proofErr w:type="spellEnd"/>
      <w:r w:rsidR="0028487F" w:rsidRPr="00323F2C">
        <w:rPr>
          <w:sz w:val="24"/>
          <w:szCs w:val="24"/>
          <w:lang w:val="en-GB"/>
        </w:rPr>
        <w:t xml:space="preserve">; </w:t>
      </w:r>
      <w:r w:rsidR="0028487F" w:rsidRPr="00AC6264">
        <w:rPr>
          <w:i/>
          <w:sz w:val="24"/>
          <w:szCs w:val="24"/>
          <w:lang w:val="en-US"/>
        </w:rPr>
        <w:t>Polymer Degradation and Stability</w:t>
      </w:r>
      <w:r w:rsidR="0028487F">
        <w:rPr>
          <w:i/>
          <w:sz w:val="24"/>
          <w:szCs w:val="24"/>
          <w:lang w:val="en-US"/>
        </w:rPr>
        <w:t>,</w:t>
      </w:r>
      <w:r w:rsidR="0028487F">
        <w:rPr>
          <w:sz w:val="24"/>
          <w:szCs w:val="24"/>
          <w:lang w:val="en-US"/>
        </w:rPr>
        <w:t xml:space="preserve"> </w:t>
      </w:r>
      <w:r w:rsidR="0028487F">
        <w:rPr>
          <w:b/>
          <w:sz w:val="24"/>
          <w:szCs w:val="24"/>
          <w:lang w:val="en-US"/>
        </w:rPr>
        <w:t>2014</w:t>
      </w:r>
      <w:r w:rsidR="0028487F">
        <w:rPr>
          <w:sz w:val="24"/>
          <w:szCs w:val="24"/>
          <w:lang w:val="en-US"/>
        </w:rPr>
        <w:t xml:space="preserve">, </w:t>
      </w:r>
      <w:r w:rsidR="0028487F">
        <w:rPr>
          <w:i/>
          <w:sz w:val="24"/>
          <w:szCs w:val="24"/>
          <w:lang w:val="en-US"/>
        </w:rPr>
        <w:t>106</w:t>
      </w:r>
      <w:r w:rsidR="0028487F">
        <w:rPr>
          <w:sz w:val="24"/>
          <w:szCs w:val="24"/>
          <w:lang w:val="en-US"/>
        </w:rPr>
        <w:t>, 138-</w:t>
      </w:r>
      <w:r w:rsidR="004A3BE6">
        <w:rPr>
          <w:sz w:val="24"/>
          <w:szCs w:val="24"/>
          <w:lang w:val="en-US"/>
        </w:rPr>
        <w:t>149</w:t>
      </w:r>
    </w:p>
    <w:p w:rsidR="00393167" w:rsidRPr="00C14E3C" w:rsidRDefault="00323F2C" w:rsidP="0028487F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[4</w:t>
      </w:r>
      <w:r w:rsidR="00393167" w:rsidRPr="00C14E3C">
        <w:rPr>
          <w:sz w:val="24"/>
          <w:szCs w:val="24"/>
          <w:lang w:val="en-US"/>
        </w:rPr>
        <w:t>] A. El-</w:t>
      </w:r>
      <w:proofErr w:type="spellStart"/>
      <w:r w:rsidR="00393167" w:rsidRPr="00C14E3C">
        <w:rPr>
          <w:sz w:val="24"/>
          <w:szCs w:val="24"/>
          <w:lang w:val="en-US"/>
        </w:rPr>
        <w:t>Shafei</w:t>
      </w:r>
      <w:proofErr w:type="spellEnd"/>
      <w:r w:rsidR="00393167" w:rsidRPr="00C14E3C">
        <w:rPr>
          <w:sz w:val="24"/>
          <w:szCs w:val="24"/>
          <w:lang w:val="en-US"/>
        </w:rPr>
        <w:t xml:space="preserve">, M. </w:t>
      </w:r>
      <w:proofErr w:type="spellStart"/>
      <w:r w:rsidR="00393167" w:rsidRPr="00C14E3C">
        <w:rPr>
          <w:sz w:val="24"/>
          <w:szCs w:val="24"/>
          <w:lang w:val="en-US"/>
        </w:rPr>
        <w:t>ElShemy</w:t>
      </w:r>
      <w:proofErr w:type="spellEnd"/>
      <w:r w:rsidR="00393167" w:rsidRPr="00C14E3C">
        <w:rPr>
          <w:sz w:val="24"/>
          <w:szCs w:val="24"/>
          <w:lang w:val="en-US"/>
        </w:rPr>
        <w:t xml:space="preserve">, A. </w:t>
      </w:r>
      <w:proofErr w:type="spellStart"/>
      <w:r w:rsidR="00393167" w:rsidRPr="00C14E3C">
        <w:rPr>
          <w:sz w:val="24"/>
          <w:szCs w:val="24"/>
          <w:lang w:val="en-US"/>
        </w:rPr>
        <w:t>Abou-Okeil</w:t>
      </w:r>
      <w:proofErr w:type="spellEnd"/>
      <w:r w:rsidR="00393167" w:rsidRPr="00C14E3C">
        <w:rPr>
          <w:sz w:val="24"/>
          <w:szCs w:val="24"/>
          <w:lang w:val="en-US"/>
        </w:rPr>
        <w:t xml:space="preserve">; </w:t>
      </w:r>
      <w:r w:rsidR="00393167" w:rsidRPr="00C14E3C">
        <w:rPr>
          <w:i/>
          <w:sz w:val="24"/>
          <w:szCs w:val="24"/>
          <w:lang w:val="en-US"/>
        </w:rPr>
        <w:t xml:space="preserve">Carbohydrate Polymers </w:t>
      </w:r>
      <w:r w:rsidR="00393167" w:rsidRPr="00C14E3C">
        <w:rPr>
          <w:b/>
          <w:sz w:val="24"/>
          <w:szCs w:val="24"/>
          <w:lang w:val="en-US"/>
        </w:rPr>
        <w:t>2015</w:t>
      </w:r>
      <w:r w:rsidR="00393167" w:rsidRPr="00C14E3C">
        <w:rPr>
          <w:sz w:val="24"/>
          <w:szCs w:val="24"/>
          <w:lang w:val="en-US"/>
        </w:rPr>
        <w:t xml:space="preserve">, </w:t>
      </w:r>
      <w:r w:rsidR="00393167" w:rsidRPr="00C14E3C">
        <w:rPr>
          <w:i/>
          <w:sz w:val="24"/>
          <w:szCs w:val="24"/>
          <w:lang w:val="en-US"/>
        </w:rPr>
        <w:t>118</w:t>
      </w:r>
      <w:r w:rsidR="00393167" w:rsidRPr="00C14E3C">
        <w:rPr>
          <w:sz w:val="24"/>
          <w:szCs w:val="24"/>
          <w:lang w:val="en-US"/>
        </w:rPr>
        <w:t>, 83-90</w:t>
      </w:r>
    </w:p>
    <w:p w:rsidR="00393167" w:rsidRDefault="00323F2C" w:rsidP="0028487F">
      <w:pPr>
        <w:spacing w:after="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[5</w:t>
      </w:r>
      <w:r w:rsidR="00C34969" w:rsidRPr="00C14E3C">
        <w:rPr>
          <w:sz w:val="24"/>
          <w:szCs w:val="24"/>
          <w:lang w:val="en-US"/>
        </w:rPr>
        <w:t xml:space="preserve">] Ping </w:t>
      </w:r>
      <w:proofErr w:type="spellStart"/>
      <w:r w:rsidR="00C34969" w:rsidRPr="00C14E3C">
        <w:rPr>
          <w:sz w:val="24"/>
          <w:szCs w:val="24"/>
          <w:lang w:val="en-US"/>
        </w:rPr>
        <w:t>Zhua</w:t>
      </w:r>
      <w:proofErr w:type="spellEnd"/>
      <w:r w:rsidR="00C34969" w:rsidRPr="00C14E3C">
        <w:rPr>
          <w:sz w:val="24"/>
          <w:szCs w:val="24"/>
          <w:lang w:val="en-US"/>
        </w:rPr>
        <w:t xml:space="preserve">, </w:t>
      </w:r>
      <w:proofErr w:type="spellStart"/>
      <w:r w:rsidR="00C34969" w:rsidRPr="00C14E3C">
        <w:rPr>
          <w:sz w:val="24"/>
          <w:szCs w:val="24"/>
          <w:lang w:val="en-US"/>
        </w:rPr>
        <w:t>Shuying</w:t>
      </w:r>
      <w:proofErr w:type="spellEnd"/>
      <w:r w:rsidR="00C34969" w:rsidRPr="00C14E3C">
        <w:rPr>
          <w:sz w:val="24"/>
          <w:szCs w:val="24"/>
          <w:lang w:val="en-US"/>
        </w:rPr>
        <w:t xml:space="preserve"> Sui et al.; </w:t>
      </w:r>
      <w:r w:rsidR="00C34969" w:rsidRPr="00C14E3C">
        <w:rPr>
          <w:i/>
          <w:sz w:val="24"/>
          <w:szCs w:val="24"/>
          <w:lang w:val="en-US"/>
        </w:rPr>
        <w:t>J. Anal.</w:t>
      </w:r>
      <w:proofErr w:type="gramEnd"/>
      <w:r w:rsidR="00C34969" w:rsidRPr="00C14E3C">
        <w:rPr>
          <w:i/>
          <w:sz w:val="24"/>
          <w:szCs w:val="24"/>
          <w:lang w:val="en-US"/>
        </w:rPr>
        <w:t xml:space="preserve"> Appl. Pyrolysis</w:t>
      </w:r>
      <w:r w:rsidR="00C34969" w:rsidRPr="00C14E3C">
        <w:rPr>
          <w:sz w:val="24"/>
          <w:szCs w:val="24"/>
          <w:lang w:val="en-US"/>
        </w:rPr>
        <w:t xml:space="preserve"> </w:t>
      </w:r>
      <w:r w:rsidR="00C34969" w:rsidRPr="00C14E3C">
        <w:rPr>
          <w:b/>
          <w:sz w:val="24"/>
          <w:szCs w:val="24"/>
          <w:lang w:val="en-US"/>
        </w:rPr>
        <w:t>2004</w:t>
      </w:r>
      <w:r w:rsidR="00C34969" w:rsidRPr="00C14E3C">
        <w:rPr>
          <w:sz w:val="24"/>
          <w:szCs w:val="24"/>
          <w:lang w:val="en-US"/>
        </w:rPr>
        <w:t xml:space="preserve">, </w:t>
      </w:r>
      <w:r w:rsidR="00C34969" w:rsidRPr="00C14E3C">
        <w:rPr>
          <w:i/>
          <w:sz w:val="24"/>
          <w:szCs w:val="24"/>
          <w:lang w:val="en-US"/>
        </w:rPr>
        <w:t>71</w:t>
      </w:r>
      <w:r w:rsidR="00C34969" w:rsidRPr="00C14E3C">
        <w:rPr>
          <w:sz w:val="24"/>
          <w:szCs w:val="24"/>
          <w:lang w:val="en-US"/>
        </w:rPr>
        <w:t>, 645–655</w:t>
      </w:r>
    </w:p>
    <w:p w:rsidR="00393167" w:rsidRDefault="00323F2C" w:rsidP="0028487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[6</w:t>
      </w:r>
      <w:r w:rsidR="0028487F" w:rsidRPr="00AC6264">
        <w:rPr>
          <w:sz w:val="24"/>
          <w:szCs w:val="24"/>
          <w:lang w:val="en-US"/>
        </w:rPr>
        <w:t>] Hui Yang, Charles Q. Yang;</w:t>
      </w:r>
      <w:r w:rsidR="0028487F" w:rsidRPr="00AC6264">
        <w:rPr>
          <w:i/>
          <w:sz w:val="24"/>
          <w:szCs w:val="24"/>
          <w:lang w:val="en-US"/>
        </w:rPr>
        <w:t xml:space="preserve"> Polymer Degradation and Stability, </w:t>
      </w:r>
      <w:r w:rsidR="0028487F" w:rsidRPr="00AC6264">
        <w:rPr>
          <w:b/>
          <w:sz w:val="24"/>
          <w:szCs w:val="24"/>
          <w:lang w:val="en-US"/>
        </w:rPr>
        <w:t>2005</w:t>
      </w:r>
      <w:r w:rsidR="0028487F" w:rsidRPr="00AC6264">
        <w:rPr>
          <w:sz w:val="24"/>
          <w:szCs w:val="24"/>
          <w:lang w:val="en-US"/>
        </w:rPr>
        <w:t xml:space="preserve">, </w:t>
      </w:r>
      <w:r w:rsidR="0028487F" w:rsidRPr="00AC6264">
        <w:rPr>
          <w:i/>
          <w:sz w:val="24"/>
          <w:szCs w:val="24"/>
          <w:lang w:val="en-US"/>
        </w:rPr>
        <w:t>88</w:t>
      </w:r>
      <w:r w:rsidR="0028487F" w:rsidRPr="00AC6264">
        <w:rPr>
          <w:sz w:val="24"/>
          <w:szCs w:val="24"/>
          <w:lang w:val="en-US"/>
        </w:rPr>
        <w:t>, 363-370</w:t>
      </w:r>
    </w:p>
    <w:p w:rsidR="0028487F" w:rsidRPr="0028487F" w:rsidRDefault="0028487F" w:rsidP="00323F2C">
      <w:pPr>
        <w:jc w:val="both"/>
        <w:rPr>
          <w:sz w:val="24"/>
          <w:szCs w:val="24"/>
          <w:lang w:val="es-ES"/>
        </w:rPr>
      </w:pPr>
    </w:p>
    <w:sectPr w:rsidR="0028487F" w:rsidRPr="0028487F" w:rsidSect="00276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64"/>
    <w:rsid w:val="000836BB"/>
    <w:rsid w:val="000C062A"/>
    <w:rsid w:val="00164AE6"/>
    <w:rsid w:val="001755FD"/>
    <w:rsid w:val="00276009"/>
    <w:rsid w:val="0028487F"/>
    <w:rsid w:val="002B2555"/>
    <w:rsid w:val="002B2B9D"/>
    <w:rsid w:val="002E302A"/>
    <w:rsid w:val="00323F2C"/>
    <w:rsid w:val="003533F4"/>
    <w:rsid w:val="00393167"/>
    <w:rsid w:val="003A3446"/>
    <w:rsid w:val="003B7389"/>
    <w:rsid w:val="00412D1B"/>
    <w:rsid w:val="00442FBC"/>
    <w:rsid w:val="004A3BE6"/>
    <w:rsid w:val="004A73B2"/>
    <w:rsid w:val="005C4379"/>
    <w:rsid w:val="005C5B22"/>
    <w:rsid w:val="0067437E"/>
    <w:rsid w:val="006D5CFF"/>
    <w:rsid w:val="00813DFE"/>
    <w:rsid w:val="008B0451"/>
    <w:rsid w:val="009C41C5"/>
    <w:rsid w:val="009F28C3"/>
    <w:rsid w:val="00A02863"/>
    <w:rsid w:val="00A40188"/>
    <w:rsid w:val="00AC6264"/>
    <w:rsid w:val="00B9638A"/>
    <w:rsid w:val="00BB0FD0"/>
    <w:rsid w:val="00C14E3C"/>
    <w:rsid w:val="00C34969"/>
    <w:rsid w:val="00DD52F3"/>
    <w:rsid w:val="00E046BA"/>
    <w:rsid w:val="00E34BBD"/>
    <w:rsid w:val="00E4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09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uiPriority w:val="99"/>
    <w:rsid w:val="00AC626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es-ES" w:eastAsia="es-ES"/>
    </w:rPr>
  </w:style>
  <w:style w:type="character" w:customStyle="1" w:styleId="Authors">
    <w:name w:val="Authors"/>
    <w:basedOn w:val="Fuentedeprrafopredeter"/>
    <w:uiPriority w:val="99"/>
    <w:rsid w:val="00AC6264"/>
    <w:rPr>
      <w:rFonts w:cs="Times New Roman"/>
      <w:bCs/>
    </w:rPr>
  </w:style>
  <w:style w:type="paragraph" w:customStyle="1" w:styleId="Addresse-mail">
    <w:name w:val="Address / e-mail"/>
    <w:basedOn w:val="Normal"/>
    <w:uiPriority w:val="99"/>
    <w:rsid w:val="00AC6264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AC6264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C062A"/>
    <w:pPr>
      <w:tabs>
        <w:tab w:val="center" w:pos="4819"/>
        <w:tab w:val="right" w:pos="9071"/>
      </w:tabs>
      <w:spacing w:after="0" w:line="240" w:lineRule="atLeast"/>
      <w:jc w:val="both"/>
    </w:pPr>
    <w:rPr>
      <w:rFonts w:ascii="Times New Roman" w:eastAsia="Times New Roman" w:hAnsi="Times New Roman"/>
      <w:color w:val="000000"/>
      <w:sz w:val="24"/>
      <w:szCs w:val="20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C062A"/>
    <w:rPr>
      <w:rFonts w:ascii="Times New Roman" w:hAnsi="Times New Roman" w:cs="Times New Roman"/>
      <w:color w:val="000000"/>
      <w:sz w:val="20"/>
      <w:szCs w:val="20"/>
      <w:lang w:val="en-GB"/>
    </w:rPr>
  </w:style>
  <w:style w:type="character" w:customStyle="1" w:styleId="volumeissue">
    <w:name w:val="volume_issue"/>
    <w:basedOn w:val="Fuentedeprrafopredeter"/>
    <w:rsid w:val="001755FD"/>
  </w:style>
  <w:style w:type="character" w:customStyle="1" w:styleId="pagerange">
    <w:name w:val="page_range"/>
    <w:basedOn w:val="Fuentedeprrafopredeter"/>
    <w:rsid w:val="00175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09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uiPriority w:val="99"/>
    <w:rsid w:val="00AC626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es-ES" w:eastAsia="es-ES"/>
    </w:rPr>
  </w:style>
  <w:style w:type="character" w:customStyle="1" w:styleId="Authors">
    <w:name w:val="Authors"/>
    <w:basedOn w:val="Fuentedeprrafopredeter"/>
    <w:uiPriority w:val="99"/>
    <w:rsid w:val="00AC6264"/>
    <w:rPr>
      <w:rFonts w:cs="Times New Roman"/>
      <w:bCs/>
    </w:rPr>
  </w:style>
  <w:style w:type="paragraph" w:customStyle="1" w:styleId="Addresse-mail">
    <w:name w:val="Address / e-mail"/>
    <w:basedOn w:val="Normal"/>
    <w:uiPriority w:val="99"/>
    <w:rsid w:val="00AC6264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AC6264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C062A"/>
    <w:pPr>
      <w:tabs>
        <w:tab w:val="center" w:pos="4819"/>
        <w:tab w:val="right" w:pos="9071"/>
      </w:tabs>
      <w:spacing w:after="0" w:line="240" w:lineRule="atLeast"/>
      <w:jc w:val="both"/>
    </w:pPr>
    <w:rPr>
      <w:rFonts w:ascii="Times New Roman" w:eastAsia="Times New Roman" w:hAnsi="Times New Roman"/>
      <w:color w:val="000000"/>
      <w:sz w:val="24"/>
      <w:szCs w:val="20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0C062A"/>
    <w:rPr>
      <w:rFonts w:ascii="Times New Roman" w:hAnsi="Times New Roman" w:cs="Times New Roman"/>
      <w:color w:val="000000"/>
      <w:sz w:val="20"/>
      <w:szCs w:val="20"/>
      <w:lang w:val="en-GB"/>
    </w:rPr>
  </w:style>
  <w:style w:type="character" w:customStyle="1" w:styleId="volumeissue">
    <w:name w:val="volume_issue"/>
    <w:basedOn w:val="Fuentedeprrafopredeter"/>
    <w:rsid w:val="001755FD"/>
  </w:style>
  <w:style w:type="character" w:customStyle="1" w:styleId="pagerange">
    <w:name w:val="page_range"/>
    <w:basedOn w:val="Fuentedeprrafopredeter"/>
    <w:rsid w:val="00175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ert.manich@iqac.csic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THERMAL ANALYSIS (DSC, TGA) OF TEXTILE FLAME RETARDANTS WITH LOWER ENVIRONMENTAL IMPACT</vt:lpstr>
    </vt:vector>
  </TitlesOfParts>
  <Company>CSIC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THERMAL ANALYSIS (DSC, TGA) OF TEXTILE FLAME RETARDANTS WITH LOWER ENVIRONMENTAL IMPACT</dc:title>
  <dc:creator>CID</dc:creator>
  <cp:lastModifiedBy>Usuari</cp:lastModifiedBy>
  <cp:revision>16</cp:revision>
  <dcterms:created xsi:type="dcterms:W3CDTF">2019-05-09T13:02:00Z</dcterms:created>
  <dcterms:modified xsi:type="dcterms:W3CDTF">2019-05-10T07:15:00Z</dcterms:modified>
</cp:coreProperties>
</file>