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D1" w:rsidRDefault="00B15ED1" w:rsidP="00B15ED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US"/>
        </w:rPr>
      </w:pPr>
      <w:r w:rsidRPr="00B15ED1">
        <w:rPr>
          <w:rFonts w:ascii="Times-Bold" w:hAnsi="Times-Bold" w:cs="Times-Bold"/>
          <w:b/>
          <w:bCs/>
          <w:sz w:val="20"/>
          <w:szCs w:val="20"/>
          <w:lang w:val="en-US"/>
        </w:rPr>
        <w:t>WA07 10:42 – 10:57</w:t>
      </w:r>
    </w:p>
    <w:p w:rsidR="00B15ED1" w:rsidRPr="00B15ED1" w:rsidRDefault="00B15ED1" w:rsidP="00B15ED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  <w:lang w:val="en-US"/>
        </w:rPr>
      </w:pPr>
    </w:p>
    <w:p w:rsidR="00B15ED1" w:rsidRPr="00B15ED1" w:rsidRDefault="00B15ED1" w:rsidP="00B15ED1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-Bold" w:cs="Times-Roman"/>
          <w:sz w:val="20"/>
          <w:szCs w:val="20"/>
          <w:lang w:val="en-US"/>
        </w:rPr>
      </w:pPr>
      <w:bookmarkStart w:id="0" w:name="_GoBack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WEAK </w:t>
      </w:r>
      <w:bookmarkEnd w:id="0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INTRAMOLECULAR INTERACTIONS EFFCTS ON THE STRUCTURE AND THE TORSIONAL SPECTRA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OF ETHYLENE GLYCOL, AN ASTROPHYSICAL SPECIES</w:t>
      </w:r>
    </w:p>
    <w:p w:rsidR="00B15ED1" w:rsidRDefault="00B15ED1" w:rsidP="00B15ED1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-Bold" w:cs="Times-Roman"/>
          <w:sz w:val="20"/>
          <w:szCs w:val="20"/>
          <w:lang w:val="en-US"/>
        </w:rPr>
      </w:pPr>
    </w:p>
    <w:p w:rsidR="00B15ED1" w:rsidRDefault="00B15ED1" w:rsidP="00B15ED1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-Bold" w:cs="Times-Roman"/>
          <w:sz w:val="20"/>
          <w:szCs w:val="20"/>
        </w:rPr>
      </w:pPr>
      <w:r>
        <w:rPr>
          <w:rFonts w:ascii="Times-Roman" w:eastAsia="Times-Roman" w:hAnsi="Times-Bold" w:cs="Times-Roman"/>
          <w:sz w:val="20"/>
          <w:szCs w:val="20"/>
        </w:rPr>
        <w:t xml:space="preserve">MARIA LUISA SENENT, RAHMA BOUSSESSI,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Inst. Estructura de la Materia, IEM-CSIC, Madrid,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</w:rPr>
        <w:t>Spain</w:t>
      </w:r>
      <w:proofErr w:type="spellEnd"/>
      <w:r>
        <w:rPr>
          <w:rFonts w:ascii="Times-Roman" w:eastAsia="Times-Roman" w:hAnsi="Times-Bold" w:cs="Times-Roman"/>
          <w:sz w:val="20"/>
          <w:szCs w:val="20"/>
        </w:rPr>
        <w:t>.</w:t>
      </w:r>
    </w:p>
    <w:p w:rsidR="00B15ED1" w:rsidRDefault="00B15ED1" w:rsidP="00B15ED1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-Bold" w:cs="Times-Roman"/>
          <w:sz w:val="20"/>
          <w:szCs w:val="20"/>
        </w:rPr>
      </w:pPr>
    </w:p>
    <w:p w:rsidR="00B15ED1" w:rsidRPr="00B15ED1" w:rsidRDefault="00B15ED1" w:rsidP="00B15ED1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-Bold" w:cs="Times-Roman"/>
          <w:sz w:val="20"/>
          <w:szCs w:val="20"/>
          <w:lang w:val="en-US"/>
        </w:rPr>
      </w:pP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A </w:t>
      </w:r>
      <w:proofErr w:type="spellStart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variational</w:t>
      </w:r>
      <w:proofErr w:type="spellEnd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 procedure of reduced dimensionality based on </w:t>
      </w:r>
      <w:proofErr w:type="gramStart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CCSD(</w:t>
      </w:r>
      <w:proofErr w:type="gramEnd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T)-F12 calculations is applied to understand the far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infrared spectrum of Ethylene-Glycol. This molecule can be classified in the double molecular symmetry group G8 and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displays nine stable conformers, gauche and </w:t>
      </w:r>
      <w:proofErr w:type="gramStart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trans</w:t>
      </w:r>
      <w:proofErr w:type="gramEnd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. In the gauche region, the effect of the potential energy surface anisotropy</w:t>
      </w:r>
    </w:p>
    <w:p w:rsidR="00B15ED1" w:rsidRPr="00B15ED1" w:rsidRDefault="00B15ED1" w:rsidP="00B15ED1">
      <w:pPr>
        <w:autoSpaceDE w:val="0"/>
        <w:autoSpaceDN w:val="0"/>
        <w:adjustRightInd w:val="0"/>
        <w:spacing w:after="0" w:line="240" w:lineRule="auto"/>
        <w:rPr>
          <w:rFonts w:ascii="Times-Roman" w:eastAsia="Times-Roman" w:hAnsi="Times-Bold" w:cs="Times-Roman"/>
          <w:sz w:val="20"/>
          <w:szCs w:val="20"/>
          <w:lang w:val="en-US"/>
        </w:rPr>
      </w:pPr>
      <w:proofErr w:type="gramStart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due</w:t>
      </w:r>
      <w:proofErr w:type="gramEnd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 to the formation of intramolecular hydrogen bonds is relevant. For the primary conformer, the ground vibrational state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rotational constants are computed at 6.3 MHz, 7.2 MHz and 3.5 MHz from the experimental parameters.</w:t>
      </w:r>
    </w:p>
    <w:p w:rsidR="00A66ACC" w:rsidRPr="00B15ED1" w:rsidRDefault="00B15ED1" w:rsidP="00B15E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Ethylene glycol displays very low torsional energy levels whose classification is not straightforward. Given the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anisotropy, tunneling </w:t>
      </w:r>
      <w:proofErr w:type="spellStart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splittings</w:t>
      </w:r>
      <w:proofErr w:type="spellEnd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 are significant and unpredictable. The ground vibrational state splits into 16 sublevels separated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approximately 142 </w:t>
      </w:r>
      <w:r w:rsidRPr="00B15ED1">
        <w:rPr>
          <w:rFonts w:ascii="CMMI10" w:hAnsi="CMMI10" w:cs="CMMI10"/>
          <w:sz w:val="20"/>
          <w:szCs w:val="20"/>
          <w:lang w:val="en-US"/>
        </w:rPr>
        <w:t>cm</w:t>
      </w:r>
      <w:r w:rsidRPr="00B15ED1">
        <w:rPr>
          <w:rFonts w:ascii="CMSY7" w:eastAsia="CMSY7" w:hAnsi="Times-Bold" w:cs="CMSY7" w:hint="eastAsia"/>
          <w:sz w:val="14"/>
          <w:szCs w:val="14"/>
          <w:lang w:val="en-US"/>
        </w:rPr>
        <w:t>−</w:t>
      </w:r>
      <w:r w:rsidRPr="00B15ED1">
        <w:rPr>
          <w:rFonts w:ascii="CMR7" w:hAnsi="CMR7" w:cs="CMR7"/>
          <w:sz w:val="14"/>
          <w:szCs w:val="14"/>
          <w:lang w:val="en-US"/>
        </w:rPr>
        <w:t>1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. Transitions corresponding to the three internal rotation modes allow assign previous observed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Q branches. Band patterns, calculated between 362.3 </w:t>
      </w:r>
      <w:r w:rsidRPr="00B15ED1">
        <w:rPr>
          <w:rFonts w:ascii="CMMI10" w:hAnsi="CMMI10" w:cs="CMMI10"/>
          <w:sz w:val="20"/>
          <w:szCs w:val="20"/>
          <w:lang w:val="en-US"/>
        </w:rPr>
        <w:t>cm</w:t>
      </w:r>
      <w:r w:rsidRPr="00B15ED1">
        <w:rPr>
          <w:rFonts w:ascii="CMSY7" w:eastAsia="CMSY7" w:hAnsi="Times-Bold" w:cs="CMSY7" w:hint="eastAsia"/>
          <w:sz w:val="14"/>
          <w:szCs w:val="14"/>
          <w:lang w:val="en-US"/>
        </w:rPr>
        <w:t>−</w:t>
      </w:r>
      <w:r w:rsidRPr="00B15ED1">
        <w:rPr>
          <w:rFonts w:ascii="CMR7" w:hAnsi="CMR7" w:cs="CMR7"/>
          <w:sz w:val="14"/>
          <w:szCs w:val="14"/>
          <w:lang w:val="en-US"/>
        </w:rPr>
        <w:t xml:space="preserve">1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and 375.2 </w:t>
      </w:r>
      <w:r w:rsidRPr="00B15ED1">
        <w:rPr>
          <w:rFonts w:ascii="CMMI10" w:hAnsi="CMMI10" w:cs="CMMI10"/>
          <w:sz w:val="20"/>
          <w:szCs w:val="20"/>
          <w:lang w:val="en-US"/>
        </w:rPr>
        <w:t>cm</w:t>
      </w:r>
      <w:r w:rsidRPr="00B15ED1">
        <w:rPr>
          <w:rFonts w:ascii="CMSY7" w:eastAsia="CMSY7" w:hAnsi="Times-Bold" w:cs="CMSY7" w:hint="eastAsia"/>
          <w:sz w:val="14"/>
          <w:szCs w:val="14"/>
          <w:lang w:val="en-US"/>
        </w:rPr>
        <w:t>−</w:t>
      </w:r>
      <w:r w:rsidRPr="00B15ED1">
        <w:rPr>
          <w:rFonts w:ascii="CMR7" w:hAnsi="CMR7" w:cs="CMR7"/>
          <w:sz w:val="14"/>
          <w:szCs w:val="14"/>
          <w:lang w:val="en-US"/>
        </w:rPr>
        <w:t>1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, between 504 </w:t>
      </w:r>
      <w:r w:rsidRPr="00B15ED1">
        <w:rPr>
          <w:rFonts w:ascii="CMMI10" w:hAnsi="CMMI10" w:cs="CMMI10"/>
          <w:sz w:val="20"/>
          <w:szCs w:val="20"/>
          <w:lang w:val="en-US"/>
        </w:rPr>
        <w:t>cm</w:t>
      </w:r>
      <w:r w:rsidRPr="00B15ED1">
        <w:rPr>
          <w:rFonts w:ascii="CMSY7" w:eastAsia="CMSY7" w:hAnsi="Times-Bold" w:cs="CMSY7" w:hint="eastAsia"/>
          <w:sz w:val="14"/>
          <w:szCs w:val="14"/>
          <w:lang w:val="en-US"/>
        </w:rPr>
        <w:t>−</w:t>
      </w:r>
      <w:r w:rsidRPr="00B15ED1">
        <w:rPr>
          <w:rFonts w:ascii="CMR7" w:hAnsi="CMR7" w:cs="CMR7"/>
          <w:sz w:val="14"/>
          <w:szCs w:val="14"/>
          <w:lang w:val="en-US"/>
        </w:rPr>
        <w:t xml:space="preserve">1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and 517 </w:t>
      </w:r>
      <w:r w:rsidRPr="00B15ED1">
        <w:rPr>
          <w:rFonts w:ascii="CMMI10" w:hAnsi="CMMI10" w:cs="CMMI10"/>
          <w:sz w:val="20"/>
          <w:szCs w:val="20"/>
          <w:lang w:val="en-US"/>
        </w:rPr>
        <w:t>cm</w:t>
      </w:r>
      <w:r w:rsidRPr="00B15ED1">
        <w:rPr>
          <w:rFonts w:ascii="CMSY7" w:eastAsia="CMSY7" w:hAnsi="Times-Bold" w:cs="CMSY7" w:hint="eastAsia"/>
          <w:sz w:val="14"/>
          <w:szCs w:val="14"/>
          <w:lang w:val="en-US"/>
        </w:rPr>
        <w:t>−</w:t>
      </w:r>
      <w:r w:rsidRPr="00B15ED1">
        <w:rPr>
          <w:rFonts w:ascii="CMR7" w:hAnsi="CMR7" w:cs="CMR7"/>
          <w:sz w:val="14"/>
          <w:szCs w:val="14"/>
          <w:lang w:val="en-US"/>
        </w:rPr>
        <w:t xml:space="preserve">1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and between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223.3 </w:t>
      </w:r>
      <w:r w:rsidRPr="00B15ED1">
        <w:rPr>
          <w:rFonts w:ascii="CMMI10" w:hAnsi="CMMI10" w:cs="CMMI10"/>
          <w:sz w:val="20"/>
          <w:szCs w:val="20"/>
          <w:lang w:val="en-US"/>
        </w:rPr>
        <w:t>cm</w:t>
      </w:r>
      <w:r w:rsidRPr="00B15ED1">
        <w:rPr>
          <w:rFonts w:ascii="CMSY7" w:eastAsia="CMSY7" w:hAnsi="Times-Bold" w:cs="CMSY7" w:hint="eastAsia"/>
          <w:sz w:val="14"/>
          <w:szCs w:val="14"/>
          <w:lang w:val="en-US"/>
        </w:rPr>
        <w:t>−</w:t>
      </w:r>
      <w:r w:rsidRPr="00B15ED1">
        <w:rPr>
          <w:rFonts w:ascii="CMR7" w:hAnsi="CMR7" w:cs="CMR7"/>
          <w:sz w:val="14"/>
          <w:szCs w:val="14"/>
          <w:lang w:val="en-US"/>
        </w:rPr>
        <w:t xml:space="preserve">1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and 224.1 </w:t>
      </w:r>
      <w:r w:rsidRPr="00B15ED1">
        <w:rPr>
          <w:rFonts w:ascii="CMMI10" w:hAnsi="CMMI10" w:cs="CMMI10"/>
          <w:sz w:val="20"/>
          <w:szCs w:val="20"/>
          <w:lang w:val="en-US"/>
        </w:rPr>
        <w:t>cm</w:t>
      </w:r>
      <w:r w:rsidRPr="00B15ED1">
        <w:rPr>
          <w:rFonts w:ascii="CMSY7" w:eastAsia="CMSY7" w:hAnsi="Times-Bold" w:cs="CMSY7" w:hint="eastAsia"/>
          <w:sz w:val="14"/>
          <w:szCs w:val="14"/>
          <w:lang w:val="en-US"/>
        </w:rPr>
        <w:t>−</w:t>
      </w:r>
      <w:r w:rsidRPr="00B15ED1">
        <w:rPr>
          <w:rFonts w:ascii="CMR7" w:hAnsi="CMR7" w:cs="CMR7"/>
          <w:sz w:val="14"/>
          <w:szCs w:val="14"/>
          <w:lang w:val="en-US"/>
        </w:rPr>
        <w:t>1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, that correspond to the </w:t>
      </w:r>
      <w:proofErr w:type="spellStart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tunnelling</w:t>
      </w:r>
      <w:proofErr w:type="spellEnd"/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 xml:space="preserve"> components of the v21 fundamental (</w:t>
      </w:r>
      <w:r>
        <w:rPr>
          <w:rFonts w:ascii="CMMI10" w:hAnsi="CMMI10" w:cs="CMMI10"/>
          <w:sz w:val="20"/>
          <w:szCs w:val="20"/>
        </w:rPr>
        <w:t>ν</w:t>
      </w:r>
      <w:r w:rsidRPr="00B15ED1">
        <w:rPr>
          <w:rFonts w:ascii="CMR7" w:hAnsi="CMR7" w:cs="CMR7"/>
          <w:sz w:val="14"/>
          <w:szCs w:val="14"/>
          <w:lang w:val="en-US"/>
        </w:rPr>
        <w:t xml:space="preserve">21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= OH-torsional</w:t>
      </w:r>
      <w:r>
        <w:rPr>
          <w:rFonts w:ascii="Times-Roman" w:eastAsia="Times-Roman" w:hAnsi="Times-Bold" w:cs="Times-Roman"/>
          <w:sz w:val="20"/>
          <w:szCs w:val="20"/>
          <w:lang w:val="en-US"/>
        </w:rPr>
        <w:t xml:space="preserve"> </w:t>
      </w:r>
      <w:r w:rsidRPr="00B15ED1">
        <w:rPr>
          <w:rFonts w:ascii="Times-Roman" w:eastAsia="Times-Roman" w:hAnsi="Times-Bold" w:cs="Times-Roman"/>
          <w:sz w:val="20"/>
          <w:szCs w:val="20"/>
          <w:lang w:val="en-US"/>
        </w:rPr>
        <w:t>mode), are assigned to the prominent experimental Q branches.</w:t>
      </w:r>
    </w:p>
    <w:sectPr w:rsidR="00A66ACC" w:rsidRPr="00B15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MSY7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D1"/>
    <w:rsid w:val="00A66ACC"/>
    <w:rsid w:val="00B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1</cp:revision>
  <dcterms:created xsi:type="dcterms:W3CDTF">2017-09-18T08:29:00Z</dcterms:created>
  <dcterms:modified xsi:type="dcterms:W3CDTF">2017-09-18T08:30:00Z</dcterms:modified>
</cp:coreProperties>
</file>